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7.xml" ContentType="application/vnd.openxmlformats-officedocument.drawingml.chart+xml"/>
  <Override PartName="/word/charts/chart8.xml" ContentType="application/vnd.openxmlformats-officedocument.drawingml.chart+xml"/>
  <Override PartName="/word/drawings/drawing1.xml" ContentType="application/vnd.openxmlformats-officedocument.drawingml.chartshapes+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charts/chart20.xml" ContentType="application/vnd.openxmlformats-officedocument.drawingml.chart+xml"/>
  <Override PartName="/word/charts/chart21.xml" ContentType="application/vnd.openxmlformats-officedocument.drawingml.chart+xml"/>
  <Override PartName="/word/drawings/drawing2.xml" ContentType="application/vnd.openxmlformats-officedocument.drawingml.chartshapes+xml"/>
  <Override PartName="/word/charts/chart22.xml" ContentType="application/vnd.openxmlformats-officedocument.drawingml.chart+xml"/>
  <Override PartName="/word/charts/chart23.xml" ContentType="application/vnd.openxmlformats-officedocument.drawingml.chart+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drawings/drawing3.xml" ContentType="application/vnd.openxmlformats-officedocument.drawingml.chartshapes+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drawings/drawing4.xml" ContentType="application/vnd.openxmlformats-officedocument.drawingml.chartshapes+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01D53A9" w14:textId="464EF83D" w:rsidR="00A011EC" w:rsidRDefault="006400C4" w:rsidP="00A011EC">
      <w:r>
        <w:rPr>
          <w:noProof/>
          <w:lang w:eastAsia="en-AU"/>
        </w:rPr>
        <w:drawing>
          <wp:anchor distT="0" distB="0" distL="114300" distR="114300" simplePos="0" relativeHeight="252615680" behindDoc="0" locked="0" layoutInCell="1" allowOverlap="1" wp14:anchorId="11A8503C" wp14:editId="200EEB26">
            <wp:simplePos x="0" y="0"/>
            <wp:positionH relativeFrom="column">
              <wp:posOffset>-2523</wp:posOffset>
            </wp:positionH>
            <wp:positionV relativeFrom="paragraph">
              <wp:posOffset>17145</wp:posOffset>
            </wp:positionV>
            <wp:extent cx="5722620" cy="156972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22620" cy="1569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2F47FD" w14:textId="00EE578F" w:rsidR="00803B2C" w:rsidRPr="00C95CE4" w:rsidRDefault="00803B2C" w:rsidP="000B6A67">
      <w:pPr>
        <w:pStyle w:val="Heading1"/>
        <w:numPr>
          <w:ilvl w:val="0"/>
          <w:numId w:val="34"/>
        </w:numPr>
      </w:pPr>
      <w:bookmarkStart w:id="0" w:name="_Toc522094789"/>
      <w:r>
        <w:t>Office performance</w:t>
      </w:r>
      <w:bookmarkEnd w:id="0"/>
      <w:r w:rsidRPr="00C95CE4">
        <w:t xml:space="preserve"> </w:t>
      </w:r>
    </w:p>
    <w:p w14:paraId="601F72E1" w14:textId="77777777" w:rsidR="00A011EC" w:rsidRDefault="00A011EC" w:rsidP="00A011EC"/>
    <w:p w14:paraId="3186FE93" w14:textId="77777777" w:rsidR="00A011EC" w:rsidRDefault="00A011EC" w:rsidP="00A011EC">
      <w:bookmarkStart w:id="1" w:name="_Toc459621634"/>
    </w:p>
    <w:p w14:paraId="22E12944" w14:textId="2EEC9CFA" w:rsidR="00A011EC" w:rsidRDefault="00A011EC" w:rsidP="00A011EC"/>
    <w:p w14:paraId="32F8E3B4" w14:textId="77777777" w:rsidR="00A011EC" w:rsidRDefault="00A011EC" w:rsidP="00A011EC"/>
    <w:p w14:paraId="11444D9B" w14:textId="77777777" w:rsidR="00A011EC" w:rsidRDefault="00A011EC" w:rsidP="00A011EC"/>
    <w:p w14:paraId="0461E54A" w14:textId="4DF2A6EB" w:rsidR="00A011EC" w:rsidRDefault="00A011EC" w:rsidP="00A011EC"/>
    <w:bookmarkEnd w:id="1"/>
    <w:p w14:paraId="3AA60147" w14:textId="77777777" w:rsidR="00A011EC" w:rsidRDefault="00A011EC" w:rsidP="00A011EC">
      <w:pPr>
        <w:jc w:val="both"/>
        <w:rPr>
          <w:rFonts w:eastAsiaTheme="majorEastAsia" w:cstheme="majorBidi"/>
          <w:b/>
          <w:bCs/>
          <w:iCs/>
          <w:color w:val="033349"/>
        </w:rPr>
      </w:pPr>
      <w:r w:rsidRPr="00617408">
        <w:rPr>
          <w:rFonts w:eastAsiaTheme="majorEastAsia" w:cstheme="majorBidi"/>
          <w:b/>
          <w:bCs/>
          <w:iCs/>
          <w:color w:val="033349"/>
        </w:rPr>
        <w:t xml:space="preserve">In this section we report on the outcomes achieved under </w:t>
      </w:r>
      <w:r>
        <w:rPr>
          <w:rFonts w:eastAsiaTheme="majorEastAsia" w:cstheme="majorBidi"/>
          <w:b/>
          <w:bCs/>
          <w:iCs/>
          <w:color w:val="033349"/>
        </w:rPr>
        <w:t>our two strategic focus areas of:</w:t>
      </w:r>
    </w:p>
    <w:p w14:paraId="0D8BDFE1" w14:textId="77777777" w:rsidR="00A011EC" w:rsidRDefault="00A011EC" w:rsidP="00A011EC">
      <w:pPr>
        <w:jc w:val="both"/>
        <w:rPr>
          <w:rFonts w:eastAsiaTheme="majorEastAsia" w:cstheme="majorBidi"/>
          <w:b/>
          <w:bCs/>
          <w:iCs/>
          <w:color w:val="033349"/>
        </w:rPr>
      </w:pPr>
    </w:p>
    <w:p w14:paraId="4A188178" w14:textId="77777777" w:rsidR="00A011EC" w:rsidRPr="00666FEE" w:rsidRDefault="00A011EC" w:rsidP="000B6A67">
      <w:pPr>
        <w:pStyle w:val="ListParagraph"/>
        <w:numPr>
          <w:ilvl w:val="0"/>
          <w:numId w:val="37"/>
        </w:numPr>
        <w:jc w:val="both"/>
        <w:rPr>
          <w:rFonts w:eastAsiaTheme="majorEastAsia" w:cstheme="majorBidi"/>
          <w:b/>
          <w:bCs/>
          <w:iCs/>
          <w:color w:val="033349"/>
        </w:rPr>
      </w:pPr>
      <w:r w:rsidRPr="00666FEE">
        <w:rPr>
          <w:rFonts w:eastAsiaTheme="majorEastAsia" w:cstheme="majorBidi"/>
          <w:b/>
          <w:bCs/>
          <w:iCs/>
          <w:color w:val="033349"/>
        </w:rPr>
        <w:t xml:space="preserve">Complaints, aligned to HaDSCO’s Service One: Assessment, negotiated settlement, conciliation and investigation of complaints. </w:t>
      </w:r>
    </w:p>
    <w:p w14:paraId="292BC46B" w14:textId="77777777" w:rsidR="00A011EC" w:rsidRDefault="00A011EC" w:rsidP="00A011EC">
      <w:pPr>
        <w:jc w:val="both"/>
        <w:rPr>
          <w:rFonts w:eastAsiaTheme="majorEastAsia" w:cstheme="majorBidi"/>
          <w:b/>
          <w:bCs/>
          <w:iCs/>
          <w:color w:val="033349"/>
        </w:rPr>
      </w:pPr>
    </w:p>
    <w:p w14:paraId="0F1AFEF6" w14:textId="77777777" w:rsidR="00A011EC" w:rsidRPr="00666FEE" w:rsidRDefault="00A011EC" w:rsidP="000B6A67">
      <w:pPr>
        <w:pStyle w:val="ListParagraph"/>
        <w:numPr>
          <w:ilvl w:val="0"/>
          <w:numId w:val="37"/>
        </w:numPr>
        <w:jc w:val="both"/>
        <w:rPr>
          <w:rFonts w:eastAsiaTheme="majorEastAsia" w:cstheme="majorBidi"/>
          <w:b/>
          <w:bCs/>
          <w:iCs/>
          <w:color w:val="033349"/>
        </w:rPr>
      </w:pPr>
      <w:r w:rsidRPr="00666FEE">
        <w:rPr>
          <w:rFonts w:eastAsiaTheme="majorEastAsia" w:cstheme="majorBidi"/>
          <w:b/>
          <w:bCs/>
          <w:iCs/>
          <w:color w:val="033349"/>
        </w:rPr>
        <w:t>Educate and train, aligned to HaDSCO’s Service Two: Education and training in the prevention and resolution of complaints.</w:t>
      </w:r>
    </w:p>
    <w:p w14:paraId="19B3DECA" w14:textId="2FB71EC5" w:rsidR="00A011EC" w:rsidRDefault="00A011EC" w:rsidP="00A011EC">
      <w:pPr>
        <w:jc w:val="both"/>
        <w:rPr>
          <w:rFonts w:eastAsiaTheme="majorEastAsia" w:cstheme="majorBidi"/>
          <w:b/>
          <w:bCs/>
          <w:iCs/>
          <w:color w:val="033349"/>
        </w:rPr>
      </w:pPr>
    </w:p>
    <w:p w14:paraId="2476A06F" w14:textId="1F243ED0" w:rsidR="00A011EC" w:rsidRDefault="005D5E64" w:rsidP="00A011EC">
      <w:pPr>
        <w:jc w:val="both"/>
        <w:rPr>
          <w:rFonts w:eastAsiaTheme="majorEastAsia" w:cstheme="majorBidi"/>
          <w:b/>
          <w:bCs/>
          <w:iCs/>
          <w:color w:val="033349"/>
        </w:rPr>
      </w:pPr>
      <w:r>
        <w:rPr>
          <w:rFonts w:eastAsiaTheme="majorEastAsia" w:cstheme="majorBidi"/>
          <w:b/>
          <w:bCs/>
          <w:iCs/>
          <w:noProof/>
          <w:color w:val="033349"/>
          <w:lang w:eastAsia="en-AU"/>
        </w:rPr>
        <w:drawing>
          <wp:anchor distT="0" distB="0" distL="114300" distR="114300" simplePos="0" relativeHeight="252614656" behindDoc="0" locked="0" layoutInCell="1" allowOverlap="1" wp14:anchorId="7B5E419F" wp14:editId="3A9844CA">
            <wp:simplePos x="0" y="0"/>
            <wp:positionH relativeFrom="column">
              <wp:posOffset>15875</wp:posOffset>
            </wp:positionH>
            <wp:positionV relativeFrom="paragraph">
              <wp:posOffset>38083</wp:posOffset>
            </wp:positionV>
            <wp:extent cx="3873500" cy="1047115"/>
            <wp:effectExtent l="0" t="0" r="0" b="63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73500" cy="10471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D67E3B" w14:textId="66B666FE" w:rsidR="0084573E" w:rsidRPr="0084573E" w:rsidRDefault="0084573E" w:rsidP="0084573E">
      <w:pPr>
        <w:pStyle w:val="Heading3"/>
        <w:rPr>
          <w:color w:val="002060"/>
        </w:rPr>
      </w:pPr>
      <w:bookmarkStart w:id="2" w:name="_Toc522094790"/>
      <w:r>
        <w:rPr>
          <w:color w:val="002060"/>
        </w:rPr>
        <w:t>Complaints</w:t>
      </w:r>
      <w:bookmarkEnd w:id="2"/>
    </w:p>
    <w:p w14:paraId="75F58CE0" w14:textId="49C27A22" w:rsidR="00A011EC" w:rsidRDefault="00A011EC" w:rsidP="00A011EC">
      <w:pPr>
        <w:jc w:val="both"/>
        <w:rPr>
          <w:rFonts w:eastAsiaTheme="majorEastAsia" w:cstheme="majorBidi"/>
          <w:b/>
          <w:bCs/>
          <w:iCs/>
          <w:color w:val="033349"/>
        </w:rPr>
      </w:pPr>
    </w:p>
    <w:p w14:paraId="682A634F" w14:textId="77777777" w:rsidR="00A011EC" w:rsidRDefault="00A011EC" w:rsidP="00A011EC">
      <w:pPr>
        <w:jc w:val="both"/>
        <w:rPr>
          <w:rFonts w:eastAsiaTheme="majorEastAsia" w:cstheme="majorBidi"/>
          <w:b/>
          <w:bCs/>
          <w:iCs/>
          <w:color w:val="033349"/>
        </w:rPr>
      </w:pPr>
    </w:p>
    <w:p w14:paraId="3D30CA4E" w14:textId="338ACBDF" w:rsidR="00A011EC" w:rsidRDefault="00A011EC" w:rsidP="00A011EC">
      <w:pPr>
        <w:jc w:val="both"/>
        <w:rPr>
          <w:rFonts w:eastAsiaTheme="majorEastAsia" w:cstheme="majorBidi"/>
          <w:b/>
          <w:bCs/>
          <w:iCs/>
          <w:color w:val="033349"/>
        </w:rPr>
      </w:pPr>
    </w:p>
    <w:p w14:paraId="13CDEECD" w14:textId="77777777" w:rsidR="00A011EC" w:rsidRDefault="00A011EC" w:rsidP="00A011EC">
      <w:pPr>
        <w:jc w:val="both"/>
        <w:rPr>
          <w:rFonts w:eastAsiaTheme="majorEastAsia" w:cstheme="majorBidi"/>
          <w:b/>
          <w:bCs/>
          <w:iCs/>
          <w:color w:val="033349"/>
        </w:rPr>
      </w:pPr>
    </w:p>
    <w:p w14:paraId="5E4EE77E" w14:textId="77777777" w:rsidR="00A011EC" w:rsidRPr="00617408" w:rsidRDefault="00A011EC" w:rsidP="00A011EC">
      <w:pPr>
        <w:jc w:val="both"/>
        <w:rPr>
          <w:rFonts w:eastAsiaTheme="majorEastAsia" w:cstheme="majorBidi"/>
          <w:b/>
          <w:bCs/>
          <w:iCs/>
          <w:color w:val="033349"/>
        </w:rPr>
      </w:pPr>
    </w:p>
    <w:p w14:paraId="1413AF62" w14:textId="29FADDE2" w:rsidR="00A011EC" w:rsidRPr="00617408" w:rsidRDefault="00A011EC" w:rsidP="00A011EC">
      <w:pPr>
        <w:jc w:val="both"/>
        <w:rPr>
          <w:rFonts w:eastAsiaTheme="majorEastAsia" w:cstheme="majorBidi"/>
          <w:b/>
          <w:bCs/>
          <w:iCs/>
          <w:color w:val="033349"/>
        </w:rPr>
      </w:pPr>
      <w:r>
        <w:rPr>
          <w:rFonts w:eastAsiaTheme="majorEastAsia" w:cstheme="majorBidi"/>
          <w:b/>
          <w:bCs/>
          <w:iCs/>
          <w:color w:val="033349"/>
        </w:rPr>
        <w:t>The following</w:t>
      </w:r>
      <w:r w:rsidRPr="00617408">
        <w:rPr>
          <w:rFonts w:eastAsiaTheme="majorEastAsia" w:cstheme="majorBidi"/>
          <w:b/>
          <w:bCs/>
          <w:iCs/>
          <w:color w:val="033349"/>
        </w:rPr>
        <w:t xml:space="preserve"> provide</w:t>
      </w:r>
      <w:r>
        <w:rPr>
          <w:rFonts w:eastAsiaTheme="majorEastAsia" w:cstheme="majorBidi"/>
          <w:b/>
          <w:bCs/>
          <w:iCs/>
          <w:color w:val="033349"/>
        </w:rPr>
        <w:t>s</w:t>
      </w:r>
      <w:r w:rsidRPr="00617408">
        <w:rPr>
          <w:rFonts w:eastAsiaTheme="majorEastAsia" w:cstheme="majorBidi"/>
          <w:b/>
          <w:bCs/>
          <w:iCs/>
          <w:color w:val="033349"/>
        </w:rPr>
        <w:t xml:space="preserve"> an overview of our complaints management process, a breakdown of complaints received and closed, details of the outcomes achieved for individuals who made complaints and </w:t>
      </w:r>
      <w:r w:rsidR="00C22296">
        <w:rPr>
          <w:rFonts w:eastAsiaTheme="majorEastAsia" w:cstheme="majorBidi"/>
          <w:b/>
          <w:bCs/>
          <w:iCs/>
          <w:color w:val="033349"/>
        </w:rPr>
        <w:t>the</w:t>
      </w:r>
      <w:r w:rsidRPr="00617408">
        <w:rPr>
          <w:rFonts w:eastAsiaTheme="majorEastAsia" w:cstheme="majorBidi"/>
          <w:b/>
          <w:bCs/>
          <w:iCs/>
          <w:color w:val="033349"/>
        </w:rPr>
        <w:t xml:space="preserve"> service improvements arising from complaints.</w:t>
      </w:r>
    </w:p>
    <w:p w14:paraId="523BF793" w14:textId="77777777" w:rsidR="00A011EC" w:rsidRDefault="00A011EC" w:rsidP="00A011EC">
      <w:pPr>
        <w:jc w:val="both"/>
        <w:rPr>
          <w:b/>
          <w:color w:val="04425E"/>
        </w:rPr>
      </w:pPr>
    </w:p>
    <w:p w14:paraId="6195AC59" w14:textId="77777777" w:rsidR="00A011EC" w:rsidRPr="00916024" w:rsidRDefault="00A011EC" w:rsidP="00A011EC">
      <w:pPr>
        <w:jc w:val="both"/>
        <w:rPr>
          <w:rFonts w:eastAsiaTheme="majorEastAsia" w:cstheme="majorBidi"/>
          <w:b/>
          <w:bCs/>
          <w:iCs/>
          <w:color w:val="033349"/>
        </w:rPr>
      </w:pPr>
      <w:r w:rsidRPr="00916024">
        <w:rPr>
          <w:rFonts w:eastAsiaTheme="majorEastAsia" w:cstheme="majorBidi"/>
          <w:b/>
          <w:bCs/>
          <w:iCs/>
          <w:color w:val="033349"/>
        </w:rPr>
        <w:t>Complaints data</w:t>
      </w:r>
    </w:p>
    <w:p w14:paraId="4601CC64" w14:textId="77777777" w:rsidR="00A011EC" w:rsidRPr="001D2369" w:rsidRDefault="00A011EC" w:rsidP="00A011EC">
      <w:pPr>
        <w:jc w:val="both"/>
      </w:pPr>
    </w:p>
    <w:p w14:paraId="4E0AEE0C" w14:textId="77777777" w:rsidR="00A011EC" w:rsidRDefault="00A011EC" w:rsidP="00A011EC">
      <w:pPr>
        <w:jc w:val="both"/>
        <w:rPr>
          <w:noProof/>
          <w:lang w:eastAsia="en-AU"/>
        </w:rPr>
      </w:pPr>
      <w:r w:rsidRPr="00096AE0">
        <w:rPr>
          <w:lang w:eastAsia="en-AU"/>
        </w:rPr>
        <w:t>We report on two sets of complaints data:</w:t>
      </w:r>
      <w:r w:rsidRPr="00121E9D">
        <w:rPr>
          <w:noProof/>
          <w:lang w:eastAsia="en-AU"/>
        </w:rPr>
        <w:t xml:space="preserve"> </w:t>
      </w:r>
    </w:p>
    <w:p w14:paraId="145B1469" w14:textId="77777777" w:rsidR="00A011EC" w:rsidRDefault="00A011EC" w:rsidP="00A011EC">
      <w:pPr>
        <w:jc w:val="both"/>
        <w:rPr>
          <w:b/>
          <w:bCs/>
          <w:iCs/>
          <w:lang w:eastAsia="en-AU"/>
        </w:rPr>
      </w:pPr>
    </w:p>
    <w:p w14:paraId="052AAFA7" w14:textId="77777777" w:rsidR="00A011EC" w:rsidRPr="002D4FFD" w:rsidRDefault="00A011EC" w:rsidP="000B6A67">
      <w:pPr>
        <w:pStyle w:val="ListParagraph"/>
        <w:numPr>
          <w:ilvl w:val="0"/>
          <w:numId w:val="13"/>
        </w:numPr>
        <w:ind w:left="426"/>
        <w:jc w:val="both"/>
      </w:pPr>
      <w:r w:rsidRPr="00410C35">
        <w:t>HaDSCO</w:t>
      </w:r>
      <w:r>
        <w:t>’s</w:t>
      </w:r>
      <w:r w:rsidRPr="00410C35">
        <w:t xml:space="preserve"> complaints data</w:t>
      </w:r>
      <w:r>
        <w:t xml:space="preserve">. </w:t>
      </w:r>
      <w:r w:rsidRPr="00297B59">
        <w:rPr>
          <w:color w:val="000000" w:themeColor="text1"/>
          <w:kern w:val="24"/>
        </w:rPr>
        <w:t>This relates to the complaints data received directly by HaDSCO about health, disability and mental health service providers.</w:t>
      </w:r>
    </w:p>
    <w:p w14:paraId="51A15349" w14:textId="77777777" w:rsidR="00A011EC" w:rsidRPr="00297B59" w:rsidRDefault="00A011EC" w:rsidP="00163500">
      <w:pPr>
        <w:pStyle w:val="ListParagraph"/>
        <w:numPr>
          <w:ilvl w:val="0"/>
          <w:numId w:val="13"/>
        </w:numPr>
        <w:spacing w:before="40"/>
        <w:ind w:left="425" w:hanging="357"/>
        <w:contextualSpacing w:val="0"/>
        <w:jc w:val="both"/>
        <w:rPr>
          <w:color w:val="000000" w:themeColor="text1"/>
          <w:kern w:val="24"/>
        </w:rPr>
      </w:pPr>
      <w:r w:rsidRPr="00297B59">
        <w:rPr>
          <w:color w:val="000000" w:themeColor="text1"/>
          <w:kern w:val="24"/>
        </w:rPr>
        <w:t>External complaints data. This relates to the complaints data collected annually by HaDSCO from prescribed service providers as part of the data collection program.</w:t>
      </w:r>
    </w:p>
    <w:p w14:paraId="35050B82" w14:textId="77777777" w:rsidR="00A011EC" w:rsidRPr="00CF6D53" w:rsidRDefault="00A011EC" w:rsidP="00A011EC">
      <w:pPr>
        <w:jc w:val="both"/>
        <w:rPr>
          <w:color w:val="000000" w:themeColor="text1"/>
          <w:kern w:val="24"/>
        </w:rPr>
      </w:pPr>
    </w:p>
    <w:p w14:paraId="1D975AF6" w14:textId="77777777" w:rsidR="00A011EC" w:rsidRPr="00916024" w:rsidRDefault="00A011EC" w:rsidP="00A011EC">
      <w:pPr>
        <w:jc w:val="both"/>
        <w:rPr>
          <w:rFonts w:eastAsiaTheme="majorEastAsia" w:cstheme="majorBidi"/>
          <w:b/>
          <w:bCs/>
          <w:iCs/>
          <w:color w:val="033349"/>
        </w:rPr>
      </w:pPr>
      <w:r w:rsidRPr="00916024">
        <w:rPr>
          <w:rFonts w:eastAsiaTheme="majorEastAsia" w:cstheme="majorBidi"/>
          <w:b/>
          <w:bCs/>
          <w:iCs/>
          <w:color w:val="033349"/>
        </w:rPr>
        <w:t>Our case studies</w:t>
      </w:r>
    </w:p>
    <w:p w14:paraId="528955F3" w14:textId="77777777" w:rsidR="00A011EC" w:rsidRPr="001D2369" w:rsidRDefault="00A011EC" w:rsidP="00A011EC">
      <w:pPr>
        <w:jc w:val="both"/>
      </w:pPr>
    </w:p>
    <w:p w14:paraId="79B32929" w14:textId="77777777" w:rsidR="00A011EC" w:rsidRDefault="00A011EC" w:rsidP="00A011EC">
      <w:pPr>
        <w:jc w:val="both"/>
        <w:rPr>
          <w:lang w:eastAsia="en-AU"/>
        </w:rPr>
      </w:pPr>
      <w:r w:rsidRPr="00121E9D">
        <w:rPr>
          <w:lang w:eastAsia="en-AU"/>
        </w:rPr>
        <w:t>Case studies have been included to illustrate the nature of the complaints we receive, the outcomes achieved for individuals, and the process improvements for future service delivery.</w:t>
      </w:r>
      <w:r>
        <w:rPr>
          <w:lang w:eastAsia="en-AU"/>
        </w:rPr>
        <w:t xml:space="preserve"> </w:t>
      </w:r>
      <w:r w:rsidRPr="00121E9D">
        <w:rPr>
          <w:lang w:eastAsia="en-AU"/>
        </w:rPr>
        <w:t xml:space="preserve">Case studies have been included in this report with the permission of the person who made the complaint and the </w:t>
      </w:r>
      <w:r>
        <w:rPr>
          <w:lang w:eastAsia="en-AU"/>
        </w:rPr>
        <w:t xml:space="preserve">service </w:t>
      </w:r>
      <w:r w:rsidRPr="00121E9D">
        <w:rPr>
          <w:lang w:eastAsia="en-AU"/>
        </w:rPr>
        <w:t xml:space="preserve">provider involved. </w:t>
      </w:r>
    </w:p>
    <w:p w14:paraId="30202D87" w14:textId="77777777" w:rsidR="00541893" w:rsidRDefault="00541893">
      <w:pPr>
        <w:spacing w:after="200" w:line="276" w:lineRule="auto"/>
        <w:rPr>
          <w:lang w:eastAsia="en-AU"/>
        </w:rPr>
      </w:pPr>
      <w:r>
        <w:rPr>
          <w:lang w:eastAsia="en-AU"/>
        </w:rPr>
        <w:br w:type="page"/>
      </w:r>
    </w:p>
    <w:p w14:paraId="5D7F5022" w14:textId="77777777" w:rsidR="00C4597D" w:rsidRDefault="00C4597D" w:rsidP="00282991">
      <w:pPr>
        <w:rPr>
          <w:lang w:eastAsia="en-AU"/>
        </w:rPr>
      </w:pPr>
    </w:p>
    <w:bookmarkStart w:id="3" w:name="_Toc493506745"/>
    <w:bookmarkStart w:id="4" w:name="_Toc522094791"/>
    <w:p w14:paraId="78321C1D" w14:textId="77777777" w:rsidR="00297B59" w:rsidRPr="00916024" w:rsidRDefault="002E2B82" w:rsidP="000B6A67">
      <w:pPr>
        <w:pStyle w:val="Heading2"/>
        <w:numPr>
          <w:ilvl w:val="1"/>
          <w:numId w:val="18"/>
        </w:numPr>
        <w:rPr>
          <w:color w:val="033349"/>
        </w:rPr>
      </w:pPr>
      <w:r w:rsidRPr="00917FE9">
        <w:rPr>
          <w:noProof/>
          <w:color w:val="033349"/>
          <w:lang w:eastAsia="en-AU"/>
        </w:rPr>
        <mc:AlternateContent>
          <mc:Choice Requires="wps">
            <w:drawing>
              <wp:anchor distT="0" distB="0" distL="114300" distR="114300" simplePos="0" relativeHeight="252399616" behindDoc="1" locked="0" layoutInCell="1" allowOverlap="1" wp14:anchorId="75D747FD" wp14:editId="5EF1A441">
                <wp:simplePos x="0" y="0"/>
                <wp:positionH relativeFrom="column">
                  <wp:posOffset>-384312</wp:posOffset>
                </wp:positionH>
                <wp:positionV relativeFrom="paragraph">
                  <wp:posOffset>-243012</wp:posOffset>
                </wp:positionV>
                <wp:extent cx="6520070" cy="9305925"/>
                <wp:effectExtent l="19050" t="19050" r="14605" b="28575"/>
                <wp:wrapNone/>
                <wp:docPr id="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0070" cy="9305925"/>
                        </a:xfrm>
                        <a:prstGeom prst="rect">
                          <a:avLst/>
                        </a:prstGeom>
                        <a:solidFill>
                          <a:srgbClr val="FFFFFF"/>
                        </a:solidFill>
                        <a:ln w="38100">
                          <a:solidFill>
                            <a:srgbClr val="033349"/>
                          </a:solidFill>
                          <a:miter lim="800000"/>
                          <a:headEnd/>
                          <a:tailEnd/>
                        </a:ln>
                      </wps:spPr>
                      <wps:txbx>
                        <w:txbxContent>
                          <w:p w14:paraId="41BC58E0" w14:textId="77777777" w:rsidR="00A03A05" w:rsidRDefault="00A03A0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30.25pt;margin-top:-19.15pt;width:513.4pt;height:732.75pt;z-index:-25091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" strokecolor="#033349" strokeweight="3pt">
                <v:textbox>
                  <w:txbxContent>
                    <w:p w14:paraId="41BC58E0" w14:textId="77777777" w:rsidR="00A03A05" w:rsidRDefault="00A03A05"/>
                  </w:txbxContent>
                </v:textbox>
              </v:shape>
            </w:pict>
          </mc:Fallback>
        </mc:AlternateContent>
      </w:r>
      <w:r w:rsidR="00297B59" w:rsidRPr="00917FE9">
        <w:rPr>
          <w:color w:val="033349"/>
        </w:rPr>
        <w:t xml:space="preserve">Key </w:t>
      </w:r>
      <w:r w:rsidR="00297B59" w:rsidRPr="00F66601">
        <w:rPr>
          <w:color w:val="002060"/>
        </w:rPr>
        <w:t>highlights</w:t>
      </w:r>
      <w:bookmarkEnd w:id="3"/>
      <w:bookmarkEnd w:id="4"/>
    </w:p>
    <w:p w14:paraId="356D76BA" w14:textId="77777777" w:rsidR="00297B59" w:rsidRPr="00916024" w:rsidRDefault="00297B59" w:rsidP="002E2B82">
      <w:pPr>
        <w:rPr>
          <w:rFonts w:eastAsiaTheme="majorEastAsia" w:cstheme="majorBidi"/>
          <w:b/>
          <w:bCs/>
          <w:iCs/>
          <w:color w:val="033349"/>
        </w:rPr>
      </w:pPr>
    </w:p>
    <w:p w14:paraId="43709084" w14:textId="77777777" w:rsidR="00262EB8" w:rsidRPr="00916024" w:rsidRDefault="00C4597D" w:rsidP="002E2B82">
      <w:pPr>
        <w:rPr>
          <w:color w:val="033349"/>
          <w:lang w:eastAsia="en-AU"/>
        </w:rPr>
      </w:pPr>
      <w:r w:rsidRPr="00916024">
        <w:rPr>
          <w:rFonts w:eastAsiaTheme="majorEastAsia" w:cstheme="majorBidi"/>
          <w:b/>
          <w:bCs/>
          <w:iCs/>
          <w:color w:val="033349"/>
        </w:rPr>
        <w:t>Key highlights</w:t>
      </w:r>
      <w:bookmarkStart w:id="5" w:name="_Toc459621638"/>
      <w:r w:rsidR="001E7A65">
        <w:rPr>
          <w:rFonts w:eastAsiaTheme="majorEastAsia" w:cstheme="majorBidi"/>
          <w:b/>
          <w:bCs/>
          <w:iCs/>
          <w:color w:val="033349"/>
        </w:rPr>
        <w:t xml:space="preserve"> for 2017-18</w:t>
      </w:r>
      <w:r w:rsidR="00262EB8" w:rsidRPr="00916024">
        <w:rPr>
          <w:rFonts w:eastAsiaTheme="majorEastAsia" w:cstheme="majorBidi"/>
          <w:b/>
          <w:bCs/>
          <w:iCs/>
          <w:color w:val="033349"/>
        </w:rPr>
        <w:t xml:space="preserve"> </w:t>
      </w:r>
      <w:r w:rsidR="00A65CD7" w:rsidRPr="00916024">
        <w:rPr>
          <w:rFonts w:eastAsiaTheme="majorEastAsia" w:cstheme="majorBidi"/>
          <w:b/>
          <w:bCs/>
          <w:iCs/>
          <w:color w:val="033349"/>
        </w:rPr>
        <w:t xml:space="preserve">for HaDSCO’s complaints data </w:t>
      </w:r>
      <w:r w:rsidR="00262EB8" w:rsidRPr="00916024">
        <w:rPr>
          <w:rFonts w:eastAsiaTheme="majorEastAsia" w:cstheme="majorBidi"/>
          <w:b/>
          <w:bCs/>
          <w:iCs/>
          <w:color w:val="033349"/>
        </w:rPr>
        <w:t>are set out below:</w:t>
      </w:r>
    </w:p>
    <w:p w14:paraId="5064F4B7" w14:textId="77777777" w:rsidR="00262EB8" w:rsidRPr="00916024" w:rsidRDefault="00262EB8" w:rsidP="00262EB8">
      <w:pPr>
        <w:pStyle w:val="ListParagraph"/>
        <w:ind w:left="0"/>
        <w:rPr>
          <w:b/>
          <w:color w:val="033349"/>
        </w:rPr>
      </w:pPr>
    </w:p>
    <w:p w14:paraId="6B2BD793" w14:textId="77777777" w:rsidR="00732098" w:rsidRPr="00560539" w:rsidRDefault="00732098" w:rsidP="000B6A67">
      <w:pPr>
        <w:pStyle w:val="ListParagraph"/>
        <w:numPr>
          <w:ilvl w:val="0"/>
          <w:numId w:val="7"/>
        </w:numPr>
        <w:ind w:left="360"/>
        <w:rPr>
          <w:rFonts w:eastAsiaTheme="majorEastAsia" w:cstheme="majorBidi"/>
          <w:bCs/>
          <w:iCs/>
          <w:color w:val="033349"/>
        </w:rPr>
      </w:pPr>
      <w:r w:rsidRPr="00560539">
        <w:rPr>
          <w:rFonts w:eastAsiaTheme="majorEastAsia" w:cstheme="majorBidi"/>
          <w:bCs/>
          <w:iCs/>
          <w:color w:val="033349"/>
        </w:rPr>
        <w:t>The total number of complaints received by HaDSCO has steadily increased over the five year period from 2013-14 to 2017-18</w:t>
      </w:r>
      <w:r>
        <w:rPr>
          <w:rFonts w:eastAsiaTheme="majorEastAsia" w:cstheme="majorBidi"/>
          <w:bCs/>
          <w:iCs/>
          <w:color w:val="033349"/>
        </w:rPr>
        <w:t xml:space="preserve">; </w:t>
      </w:r>
      <w:r w:rsidRPr="00916024">
        <w:rPr>
          <w:rFonts w:eastAsiaTheme="majorEastAsia" w:cstheme="majorBidi"/>
          <w:bCs/>
          <w:iCs/>
          <w:color w:val="033349"/>
        </w:rPr>
        <w:t>2,</w:t>
      </w:r>
      <w:r>
        <w:rPr>
          <w:rFonts w:eastAsiaTheme="majorEastAsia" w:cstheme="majorBidi"/>
          <w:bCs/>
          <w:iCs/>
          <w:color w:val="033349"/>
        </w:rPr>
        <w:t>719</w:t>
      </w:r>
      <w:r w:rsidRPr="00916024">
        <w:rPr>
          <w:rFonts w:eastAsiaTheme="majorEastAsia" w:cstheme="majorBidi"/>
          <w:bCs/>
          <w:iCs/>
          <w:color w:val="033349"/>
        </w:rPr>
        <w:t xml:space="preserve"> complaints</w:t>
      </w:r>
      <w:r>
        <w:rPr>
          <w:rFonts w:eastAsiaTheme="majorEastAsia" w:cstheme="majorBidi"/>
          <w:bCs/>
          <w:iCs/>
          <w:color w:val="033349"/>
        </w:rPr>
        <w:t xml:space="preserve"> were received in 2017-18, which represents a 12% increase relative to 2013-14</w:t>
      </w:r>
      <w:r w:rsidRPr="00916024">
        <w:rPr>
          <w:rFonts w:eastAsiaTheme="majorEastAsia" w:cstheme="majorBidi"/>
          <w:bCs/>
          <w:iCs/>
          <w:color w:val="033349"/>
        </w:rPr>
        <w:t xml:space="preserve">. </w:t>
      </w:r>
    </w:p>
    <w:p w14:paraId="0BFA0BE8" w14:textId="77777777" w:rsidR="00732098" w:rsidRDefault="00732098" w:rsidP="00732098">
      <w:pPr>
        <w:pStyle w:val="ListParagraph"/>
        <w:ind w:left="426"/>
        <w:rPr>
          <w:rFonts w:eastAsiaTheme="majorEastAsia" w:cstheme="majorBidi"/>
          <w:bCs/>
          <w:iCs/>
          <w:color w:val="033349"/>
        </w:rPr>
      </w:pPr>
    </w:p>
    <w:p w14:paraId="23B6E599" w14:textId="77777777" w:rsidR="006316D2" w:rsidRPr="00916024" w:rsidRDefault="006316D2" w:rsidP="000B6A67">
      <w:pPr>
        <w:pStyle w:val="ListParagraph"/>
        <w:numPr>
          <w:ilvl w:val="0"/>
          <w:numId w:val="7"/>
        </w:numPr>
        <w:ind w:left="360"/>
        <w:rPr>
          <w:color w:val="033349"/>
        </w:rPr>
      </w:pPr>
      <w:r w:rsidRPr="00916024">
        <w:rPr>
          <w:rFonts w:eastAsiaTheme="majorEastAsia" w:cstheme="majorBidi"/>
          <w:bCs/>
          <w:iCs/>
          <w:color w:val="033349"/>
        </w:rPr>
        <w:t>The Office met or exceeded the annual targets relating to the timely resolution of complaints, with the exception of the proportion of co</w:t>
      </w:r>
      <w:r>
        <w:rPr>
          <w:rFonts w:eastAsiaTheme="majorEastAsia" w:cstheme="majorBidi"/>
          <w:bCs/>
          <w:iCs/>
          <w:color w:val="033349"/>
        </w:rPr>
        <w:t>mplaints where notification of acceptance was provided within 14 days (achieved</w:t>
      </w:r>
      <w:r w:rsidRPr="00916024">
        <w:rPr>
          <w:rFonts w:eastAsiaTheme="majorEastAsia" w:cstheme="majorBidi"/>
          <w:bCs/>
          <w:iCs/>
          <w:color w:val="033349"/>
        </w:rPr>
        <w:t xml:space="preserve"> 91%, instead of the targeted 95%)</w:t>
      </w:r>
      <w:r>
        <w:rPr>
          <w:rFonts w:eastAsiaTheme="majorEastAsia" w:cstheme="majorBidi"/>
          <w:bCs/>
          <w:iCs/>
          <w:color w:val="033349"/>
        </w:rPr>
        <w:t>, and the proportion of complaints in negotiated settlement that were resolved within 112 days (achieved 71%, instead of the targeted 85%).</w:t>
      </w:r>
    </w:p>
    <w:p w14:paraId="3A92E610" w14:textId="77777777" w:rsidR="006316D2" w:rsidRPr="006316D2" w:rsidRDefault="006316D2" w:rsidP="006316D2">
      <w:pPr>
        <w:rPr>
          <w:color w:val="033349"/>
          <w:sz w:val="20"/>
          <w:szCs w:val="20"/>
        </w:rPr>
      </w:pPr>
    </w:p>
    <w:p w14:paraId="3090D898" w14:textId="77777777" w:rsidR="006316D2" w:rsidRPr="00247167" w:rsidRDefault="006316D2" w:rsidP="000B6A67">
      <w:pPr>
        <w:pStyle w:val="ListParagraph"/>
        <w:numPr>
          <w:ilvl w:val="0"/>
          <w:numId w:val="7"/>
        </w:numPr>
        <w:ind w:left="360"/>
        <w:rPr>
          <w:color w:val="033349"/>
        </w:rPr>
      </w:pPr>
      <w:r w:rsidRPr="00916024">
        <w:rPr>
          <w:rFonts w:eastAsiaTheme="majorEastAsia" w:cstheme="majorBidi"/>
          <w:bCs/>
          <w:iCs/>
          <w:color w:val="033349"/>
        </w:rPr>
        <w:t xml:space="preserve">The issues raised in complaints </w:t>
      </w:r>
      <w:r>
        <w:rPr>
          <w:rFonts w:eastAsiaTheme="majorEastAsia" w:cstheme="majorBidi"/>
          <w:bCs/>
          <w:iCs/>
          <w:color w:val="033349"/>
        </w:rPr>
        <w:t>about</w:t>
      </w:r>
      <w:r w:rsidRPr="00916024">
        <w:rPr>
          <w:rFonts w:eastAsiaTheme="majorEastAsia" w:cstheme="majorBidi"/>
          <w:bCs/>
          <w:iCs/>
          <w:color w:val="033349"/>
        </w:rPr>
        <w:t xml:space="preserve"> health, disability or mental health services varied</w:t>
      </w:r>
      <w:r>
        <w:rPr>
          <w:rFonts w:eastAsiaTheme="majorEastAsia" w:cstheme="majorBidi"/>
          <w:bCs/>
          <w:iCs/>
          <w:color w:val="033349"/>
        </w:rPr>
        <w:t>:</w:t>
      </w:r>
    </w:p>
    <w:p w14:paraId="3FD1FE75" w14:textId="77777777" w:rsidR="006316D2" w:rsidRPr="006316D2" w:rsidRDefault="006316D2" w:rsidP="006316D2">
      <w:pPr>
        <w:rPr>
          <w:color w:val="033349"/>
          <w:sz w:val="20"/>
          <w:szCs w:val="20"/>
        </w:rPr>
      </w:pPr>
    </w:p>
    <w:p w14:paraId="761BB407" w14:textId="77777777" w:rsidR="006316D2" w:rsidRPr="00710319" w:rsidRDefault="006316D2" w:rsidP="000B6A67">
      <w:pPr>
        <w:pStyle w:val="ListParagraph"/>
        <w:numPr>
          <w:ilvl w:val="0"/>
          <w:numId w:val="25"/>
        </w:numPr>
        <w:rPr>
          <w:rFonts w:eastAsiaTheme="majorEastAsia" w:cstheme="majorBidi"/>
          <w:bCs/>
          <w:iCs/>
          <w:color w:val="033349"/>
        </w:rPr>
      </w:pPr>
      <w:r w:rsidRPr="00710319">
        <w:rPr>
          <w:rFonts w:eastAsiaTheme="majorEastAsia" w:cstheme="majorBidi"/>
          <w:bCs/>
          <w:iCs/>
          <w:color w:val="033349"/>
        </w:rPr>
        <w:t xml:space="preserve">Health complaints typically concerned </w:t>
      </w:r>
      <w:r>
        <w:rPr>
          <w:rFonts w:eastAsiaTheme="majorEastAsia" w:cstheme="majorBidi"/>
          <w:bCs/>
          <w:iCs/>
          <w:color w:val="033349"/>
        </w:rPr>
        <w:t>treatment;</w:t>
      </w:r>
      <w:r w:rsidRPr="00710319">
        <w:rPr>
          <w:rFonts w:eastAsiaTheme="majorEastAsia" w:cstheme="majorBidi"/>
          <w:bCs/>
          <w:iCs/>
          <w:color w:val="033349"/>
        </w:rPr>
        <w:t xml:space="preserve"> communication </w:t>
      </w:r>
      <w:r>
        <w:rPr>
          <w:rFonts w:eastAsiaTheme="majorEastAsia" w:cstheme="majorBidi"/>
          <w:bCs/>
          <w:iCs/>
          <w:color w:val="033349"/>
        </w:rPr>
        <w:t>and information;</w:t>
      </w:r>
      <w:r w:rsidRPr="00710319">
        <w:rPr>
          <w:rFonts w:eastAsiaTheme="majorEastAsia" w:cstheme="majorBidi"/>
          <w:bCs/>
          <w:iCs/>
          <w:color w:val="033349"/>
        </w:rPr>
        <w:t xml:space="preserve"> </w:t>
      </w:r>
      <w:r>
        <w:rPr>
          <w:rFonts w:eastAsiaTheme="majorEastAsia" w:cstheme="majorBidi"/>
          <w:bCs/>
          <w:iCs/>
          <w:color w:val="033349"/>
        </w:rPr>
        <w:t>fees and costs;</w:t>
      </w:r>
      <w:r w:rsidRPr="00710319">
        <w:rPr>
          <w:rFonts w:eastAsiaTheme="majorEastAsia" w:cstheme="majorBidi"/>
          <w:bCs/>
          <w:iCs/>
          <w:color w:val="033349"/>
        </w:rPr>
        <w:t xml:space="preserve"> and service access</w:t>
      </w:r>
      <w:r>
        <w:rPr>
          <w:rFonts w:eastAsiaTheme="majorEastAsia" w:cstheme="majorBidi"/>
          <w:bCs/>
          <w:iCs/>
          <w:color w:val="033349"/>
        </w:rPr>
        <w:t>. There has been a notable</w:t>
      </w:r>
      <w:r w:rsidRPr="00710319">
        <w:rPr>
          <w:rFonts w:eastAsiaTheme="majorEastAsia" w:cstheme="majorBidi"/>
          <w:bCs/>
          <w:iCs/>
          <w:color w:val="033349"/>
        </w:rPr>
        <w:t xml:space="preserve"> increase in the proportion of complaints that identified a concern with communication and information in 2017-18; the proportion increased </w:t>
      </w:r>
      <w:r>
        <w:rPr>
          <w:rFonts w:eastAsiaTheme="majorEastAsia" w:cstheme="majorBidi"/>
          <w:bCs/>
          <w:iCs/>
          <w:color w:val="033349"/>
        </w:rPr>
        <w:t xml:space="preserve">from </w:t>
      </w:r>
      <w:r w:rsidRPr="00710319">
        <w:rPr>
          <w:rFonts w:eastAsiaTheme="majorEastAsia" w:cstheme="majorBidi"/>
          <w:bCs/>
          <w:iCs/>
          <w:color w:val="033349"/>
        </w:rPr>
        <w:t>17% in 2016-17</w:t>
      </w:r>
      <w:r>
        <w:rPr>
          <w:rFonts w:eastAsiaTheme="majorEastAsia" w:cstheme="majorBidi"/>
          <w:bCs/>
          <w:iCs/>
          <w:color w:val="033349"/>
        </w:rPr>
        <w:t xml:space="preserve"> to 25% in 2017-18</w:t>
      </w:r>
      <w:r w:rsidRPr="00710319">
        <w:rPr>
          <w:rFonts w:eastAsiaTheme="majorEastAsia" w:cstheme="majorBidi"/>
          <w:bCs/>
          <w:iCs/>
          <w:color w:val="033349"/>
        </w:rPr>
        <w:t>.</w:t>
      </w:r>
    </w:p>
    <w:p w14:paraId="1FD67578" w14:textId="70282870" w:rsidR="006316D2" w:rsidRPr="006B7882" w:rsidRDefault="006316D2" w:rsidP="000B6A67">
      <w:pPr>
        <w:pStyle w:val="ListParagraph"/>
        <w:numPr>
          <w:ilvl w:val="0"/>
          <w:numId w:val="25"/>
        </w:numPr>
        <w:spacing w:after="60"/>
        <w:ind w:left="714" w:hanging="357"/>
        <w:contextualSpacing w:val="0"/>
        <w:rPr>
          <w:rFonts w:eastAsiaTheme="majorEastAsia" w:cstheme="majorBidi"/>
          <w:bCs/>
          <w:iCs/>
          <w:color w:val="033349"/>
        </w:rPr>
      </w:pPr>
      <w:r>
        <w:rPr>
          <w:rFonts w:eastAsiaTheme="majorEastAsia" w:cstheme="majorBidi"/>
          <w:bCs/>
          <w:iCs/>
          <w:color w:val="033349"/>
        </w:rPr>
        <w:t>The proportion of d</w:t>
      </w:r>
      <w:r w:rsidRPr="00916024">
        <w:rPr>
          <w:rFonts w:eastAsiaTheme="majorEastAsia" w:cstheme="majorBidi"/>
          <w:bCs/>
          <w:iCs/>
          <w:color w:val="033349"/>
        </w:rPr>
        <w:t xml:space="preserve">isability complaints </w:t>
      </w:r>
      <w:r>
        <w:rPr>
          <w:rFonts w:eastAsiaTheme="majorEastAsia" w:cstheme="majorBidi"/>
          <w:bCs/>
          <w:iCs/>
          <w:color w:val="033349"/>
        </w:rPr>
        <w:t>that concerned</w:t>
      </w:r>
      <w:r w:rsidRPr="00916024">
        <w:rPr>
          <w:rFonts w:eastAsiaTheme="majorEastAsia" w:cstheme="majorBidi"/>
          <w:bCs/>
          <w:iCs/>
          <w:color w:val="033349"/>
        </w:rPr>
        <w:t xml:space="preserve"> service delivery</w:t>
      </w:r>
      <w:r w:rsidR="00866B0A">
        <w:rPr>
          <w:rFonts w:eastAsiaTheme="majorEastAsia" w:cstheme="majorBidi"/>
          <w:bCs/>
          <w:iCs/>
          <w:color w:val="033349"/>
        </w:rPr>
        <w:t>;</w:t>
      </w:r>
      <w:r>
        <w:rPr>
          <w:rFonts w:eastAsiaTheme="majorEastAsia" w:cstheme="majorBidi"/>
          <w:bCs/>
          <w:iCs/>
          <w:color w:val="033349"/>
        </w:rPr>
        <w:t xml:space="preserve"> and/or service management increased notably in 2017-18 in comparison to 2016-17. In contrast, the proportion of complaints concerning </w:t>
      </w:r>
      <w:r w:rsidRPr="00916024">
        <w:rPr>
          <w:rFonts w:eastAsiaTheme="majorEastAsia" w:cstheme="majorBidi"/>
          <w:bCs/>
          <w:iCs/>
          <w:color w:val="033349"/>
        </w:rPr>
        <w:t>service costs and financial assistan</w:t>
      </w:r>
      <w:r>
        <w:rPr>
          <w:rFonts w:eastAsiaTheme="majorEastAsia" w:cstheme="majorBidi"/>
          <w:bCs/>
          <w:iCs/>
          <w:color w:val="033349"/>
        </w:rPr>
        <w:t>ce</w:t>
      </w:r>
      <w:r w:rsidR="00866B0A">
        <w:rPr>
          <w:rFonts w:eastAsiaTheme="majorEastAsia" w:cstheme="majorBidi"/>
          <w:bCs/>
          <w:iCs/>
          <w:color w:val="033349"/>
        </w:rPr>
        <w:t>;</w:t>
      </w:r>
      <w:r>
        <w:rPr>
          <w:rFonts w:eastAsiaTheme="majorEastAsia" w:cstheme="majorBidi"/>
          <w:bCs/>
          <w:iCs/>
          <w:color w:val="033349"/>
        </w:rPr>
        <w:t xml:space="preserve"> and/or service access have declined over the past three years</w:t>
      </w:r>
      <w:r w:rsidRPr="00916024">
        <w:rPr>
          <w:rFonts w:eastAsiaTheme="majorEastAsia" w:cstheme="majorBidi"/>
          <w:bCs/>
          <w:iCs/>
          <w:color w:val="033349"/>
        </w:rPr>
        <w:t>.</w:t>
      </w:r>
    </w:p>
    <w:p w14:paraId="016538EA" w14:textId="707BAA14" w:rsidR="006316D2" w:rsidRDefault="006316D2" w:rsidP="000B6A67">
      <w:pPr>
        <w:pStyle w:val="ListParagraph"/>
        <w:numPr>
          <w:ilvl w:val="0"/>
          <w:numId w:val="25"/>
        </w:numPr>
        <w:spacing w:after="60"/>
        <w:rPr>
          <w:rFonts w:eastAsiaTheme="majorEastAsia" w:cstheme="majorBidi"/>
          <w:bCs/>
          <w:iCs/>
          <w:color w:val="033349"/>
        </w:rPr>
      </w:pPr>
      <w:r w:rsidRPr="003C3B7C">
        <w:rPr>
          <w:rFonts w:eastAsiaTheme="majorEastAsia" w:cstheme="majorBidi"/>
          <w:bCs/>
          <w:iCs/>
          <w:color w:val="033349"/>
        </w:rPr>
        <w:t>Mental health complaints typically concern</w:t>
      </w:r>
      <w:r>
        <w:rPr>
          <w:rFonts w:eastAsiaTheme="majorEastAsia" w:cstheme="majorBidi"/>
          <w:bCs/>
          <w:iCs/>
          <w:color w:val="033349"/>
        </w:rPr>
        <w:t xml:space="preserve">ed the quality of clinical care; </w:t>
      </w:r>
      <w:r w:rsidRPr="003C3B7C">
        <w:rPr>
          <w:rFonts w:eastAsiaTheme="majorEastAsia" w:cstheme="majorBidi"/>
          <w:bCs/>
          <w:iCs/>
          <w:color w:val="033349"/>
        </w:rPr>
        <w:t>communication</w:t>
      </w:r>
      <w:r>
        <w:rPr>
          <w:rFonts w:eastAsiaTheme="majorEastAsia" w:cstheme="majorBidi"/>
          <w:bCs/>
          <w:iCs/>
          <w:color w:val="033349"/>
        </w:rPr>
        <w:t>;</w:t>
      </w:r>
      <w:r w:rsidRPr="003C3B7C">
        <w:rPr>
          <w:rFonts w:eastAsiaTheme="majorEastAsia" w:cstheme="majorBidi"/>
          <w:bCs/>
          <w:iCs/>
          <w:color w:val="033349"/>
        </w:rPr>
        <w:t xml:space="preserve"> rights, respect and dignity</w:t>
      </w:r>
      <w:r>
        <w:rPr>
          <w:rFonts w:eastAsiaTheme="majorEastAsia" w:cstheme="majorBidi"/>
          <w:bCs/>
          <w:iCs/>
          <w:color w:val="033349"/>
        </w:rPr>
        <w:t>;</w:t>
      </w:r>
      <w:r w:rsidRPr="003C3B7C">
        <w:rPr>
          <w:rFonts w:eastAsiaTheme="majorEastAsia" w:cstheme="majorBidi"/>
          <w:bCs/>
          <w:iCs/>
          <w:color w:val="033349"/>
        </w:rPr>
        <w:t xml:space="preserve"> and decision making. Of note, </w:t>
      </w:r>
      <w:r>
        <w:rPr>
          <w:rFonts w:eastAsiaTheme="majorEastAsia" w:cstheme="majorBidi"/>
          <w:bCs/>
          <w:iCs/>
          <w:color w:val="033349"/>
        </w:rPr>
        <w:t>t</w:t>
      </w:r>
      <w:r w:rsidRPr="003C3B7C">
        <w:rPr>
          <w:rFonts w:eastAsiaTheme="majorEastAsia" w:cstheme="majorBidi"/>
          <w:bCs/>
          <w:iCs/>
          <w:color w:val="033349"/>
        </w:rPr>
        <w:t xml:space="preserve">he proportion of mental health complaints concerning communication </w:t>
      </w:r>
      <w:r>
        <w:rPr>
          <w:rFonts w:eastAsiaTheme="majorEastAsia" w:cstheme="majorBidi"/>
          <w:bCs/>
          <w:iCs/>
          <w:color w:val="033349"/>
        </w:rPr>
        <w:t>shows an increasing trend</w:t>
      </w:r>
      <w:r w:rsidRPr="003C3B7C">
        <w:rPr>
          <w:rFonts w:eastAsiaTheme="majorEastAsia" w:cstheme="majorBidi"/>
          <w:bCs/>
          <w:iCs/>
          <w:color w:val="033349"/>
        </w:rPr>
        <w:t xml:space="preserve"> over </w:t>
      </w:r>
      <w:r>
        <w:rPr>
          <w:rFonts w:eastAsiaTheme="majorEastAsia" w:cstheme="majorBidi"/>
          <w:bCs/>
          <w:iCs/>
          <w:color w:val="033349"/>
        </w:rPr>
        <w:t>the past three years</w:t>
      </w:r>
      <w:r w:rsidRPr="003C3B7C">
        <w:rPr>
          <w:rFonts w:eastAsiaTheme="majorEastAsia" w:cstheme="majorBidi"/>
          <w:bCs/>
          <w:iCs/>
          <w:color w:val="033349"/>
        </w:rPr>
        <w:t xml:space="preserve">, </w:t>
      </w:r>
      <w:r>
        <w:rPr>
          <w:rFonts w:eastAsiaTheme="majorEastAsia" w:cstheme="majorBidi"/>
          <w:bCs/>
          <w:iCs/>
          <w:color w:val="033349"/>
        </w:rPr>
        <w:t>while t</w:t>
      </w:r>
      <w:r w:rsidR="003E51D2">
        <w:rPr>
          <w:rFonts w:eastAsiaTheme="majorEastAsia" w:cstheme="majorBidi"/>
          <w:bCs/>
          <w:iCs/>
          <w:color w:val="033349"/>
        </w:rPr>
        <w:t>he proportion of</w:t>
      </w:r>
      <w:r w:rsidRPr="003C3B7C">
        <w:rPr>
          <w:rFonts w:eastAsiaTheme="majorEastAsia" w:cstheme="majorBidi"/>
          <w:bCs/>
          <w:iCs/>
          <w:color w:val="033349"/>
        </w:rPr>
        <w:t xml:space="preserve"> complaints </w:t>
      </w:r>
      <w:r>
        <w:rPr>
          <w:rFonts w:eastAsiaTheme="majorEastAsia" w:cstheme="majorBidi"/>
          <w:bCs/>
          <w:iCs/>
          <w:color w:val="033349"/>
        </w:rPr>
        <w:t>concerning</w:t>
      </w:r>
      <w:r w:rsidRPr="003C3B7C">
        <w:rPr>
          <w:rFonts w:eastAsiaTheme="majorEastAsia" w:cstheme="majorBidi"/>
          <w:bCs/>
          <w:iCs/>
          <w:color w:val="033349"/>
        </w:rPr>
        <w:t xml:space="preserve"> access </w:t>
      </w:r>
      <w:r>
        <w:rPr>
          <w:rFonts w:eastAsiaTheme="majorEastAsia" w:cstheme="majorBidi"/>
          <w:bCs/>
          <w:iCs/>
          <w:color w:val="033349"/>
        </w:rPr>
        <w:t>shows a decreasing trend</w:t>
      </w:r>
      <w:r w:rsidRPr="003C3B7C">
        <w:rPr>
          <w:rFonts w:eastAsiaTheme="majorEastAsia" w:cstheme="majorBidi"/>
          <w:bCs/>
          <w:iCs/>
          <w:color w:val="033349"/>
        </w:rPr>
        <w:t>.</w:t>
      </w:r>
    </w:p>
    <w:p w14:paraId="234524F4" w14:textId="77777777" w:rsidR="006316D2" w:rsidRPr="003C3B7C" w:rsidRDefault="006316D2" w:rsidP="006316D2">
      <w:pPr>
        <w:pStyle w:val="ListParagraph"/>
        <w:spacing w:after="60"/>
        <w:rPr>
          <w:rFonts w:eastAsiaTheme="majorEastAsia" w:cstheme="majorBidi"/>
          <w:bCs/>
          <w:iCs/>
          <w:color w:val="033349"/>
        </w:rPr>
      </w:pPr>
    </w:p>
    <w:p w14:paraId="2EA7641C" w14:textId="77777777" w:rsidR="006316D2" w:rsidRPr="00247167" w:rsidRDefault="006316D2" w:rsidP="000B6A67">
      <w:pPr>
        <w:pStyle w:val="ListParagraph"/>
        <w:numPr>
          <w:ilvl w:val="0"/>
          <w:numId w:val="7"/>
        </w:numPr>
        <w:ind w:left="360"/>
        <w:rPr>
          <w:color w:val="033349"/>
        </w:rPr>
      </w:pPr>
      <w:r w:rsidRPr="00916024">
        <w:rPr>
          <w:rFonts w:eastAsiaTheme="majorEastAsia" w:cstheme="majorBidi"/>
          <w:bCs/>
          <w:iCs/>
          <w:color w:val="033349"/>
        </w:rPr>
        <w:t>Services that received the highest proportion of complaints were:</w:t>
      </w:r>
    </w:p>
    <w:p w14:paraId="66B83F61" w14:textId="77777777" w:rsidR="006316D2" w:rsidRPr="006316D2" w:rsidRDefault="006316D2" w:rsidP="006316D2">
      <w:pPr>
        <w:pStyle w:val="ListParagraph"/>
        <w:ind w:left="360"/>
        <w:rPr>
          <w:color w:val="033349"/>
          <w:sz w:val="20"/>
          <w:szCs w:val="20"/>
        </w:rPr>
      </w:pPr>
    </w:p>
    <w:p w14:paraId="45644D15" w14:textId="77777777" w:rsidR="006316D2" w:rsidRPr="006B7882" w:rsidRDefault="006316D2" w:rsidP="000B6A67">
      <w:pPr>
        <w:pStyle w:val="ListParagraph"/>
        <w:numPr>
          <w:ilvl w:val="0"/>
          <w:numId w:val="25"/>
        </w:numPr>
        <w:spacing w:after="60"/>
        <w:ind w:left="714" w:hanging="357"/>
        <w:contextualSpacing w:val="0"/>
        <w:rPr>
          <w:rFonts w:eastAsiaTheme="majorEastAsia" w:cstheme="majorBidi"/>
          <w:bCs/>
          <w:iCs/>
          <w:color w:val="033349"/>
        </w:rPr>
      </w:pPr>
      <w:r w:rsidRPr="00916024">
        <w:rPr>
          <w:rFonts w:eastAsiaTheme="majorEastAsia" w:cstheme="majorBidi"/>
          <w:bCs/>
          <w:iCs/>
          <w:color w:val="033349"/>
        </w:rPr>
        <w:t>Health services: prison health services</w:t>
      </w:r>
      <w:r>
        <w:rPr>
          <w:rFonts w:eastAsiaTheme="majorEastAsia" w:cstheme="majorBidi"/>
          <w:bCs/>
          <w:iCs/>
          <w:color w:val="033349"/>
        </w:rPr>
        <w:t xml:space="preserve">; </w:t>
      </w:r>
      <w:r w:rsidRPr="00916024">
        <w:rPr>
          <w:rFonts w:eastAsiaTheme="majorEastAsia" w:cstheme="majorBidi"/>
          <w:bCs/>
          <w:iCs/>
          <w:color w:val="033349"/>
        </w:rPr>
        <w:t>general practices and practitioners</w:t>
      </w:r>
      <w:r>
        <w:rPr>
          <w:rFonts w:eastAsiaTheme="majorEastAsia" w:cstheme="majorBidi"/>
          <w:bCs/>
          <w:iCs/>
          <w:color w:val="033349"/>
        </w:rPr>
        <w:t>; dental health services;</w:t>
      </w:r>
      <w:r w:rsidRPr="00916024">
        <w:rPr>
          <w:rFonts w:eastAsiaTheme="majorEastAsia" w:cstheme="majorBidi"/>
          <w:bCs/>
          <w:iCs/>
          <w:color w:val="033349"/>
        </w:rPr>
        <w:t xml:space="preserve"> and </w:t>
      </w:r>
      <w:r>
        <w:rPr>
          <w:rFonts w:eastAsiaTheme="majorEastAsia" w:cstheme="majorBidi"/>
          <w:bCs/>
          <w:iCs/>
          <w:color w:val="033349"/>
        </w:rPr>
        <w:t>accident and emergency services. The proportion of complaints concerning prison health services shows an increasing trend over the past three years.</w:t>
      </w:r>
    </w:p>
    <w:p w14:paraId="33EE02E2" w14:textId="77777777" w:rsidR="006316D2" w:rsidRPr="006B7882" w:rsidRDefault="006316D2" w:rsidP="000B6A67">
      <w:pPr>
        <w:pStyle w:val="ListParagraph"/>
        <w:numPr>
          <w:ilvl w:val="0"/>
          <w:numId w:val="25"/>
        </w:numPr>
        <w:spacing w:after="60"/>
        <w:ind w:left="714" w:hanging="357"/>
        <w:contextualSpacing w:val="0"/>
        <w:rPr>
          <w:rFonts w:eastAsiaTheme="majorEastAsia" w:cstheme="majorBidi"/>
          <w:bCs/>
          <w:iCs/>
          <w:color w:val="033349"/>
        </w:rPr>
      </w:pPr>
      <w:r w:rsidRPr="00916024">
        <w:rPr>
          <w:rFonts w:eastAsiaTheme="majorEastAsia" w:cstheme="majorBidi"/>
          <w:bCs/>
          <w:iCs/>
          <w:color w:val="033349"/>
        </w:rPr>
        <w:t xml:space="preserve">Disability services: </w:t>
      </w:r>
      <w:r>
        <w:rPr>
          <w:rFonts w:eastAsiaTheme="majorEastAsia" w:cstheme="majorBidi"/>
          <w:bCs/>
          <w:iCs/>
          <w:color w:val="033349"/>
        </w:rPr>
        <w:t>in-home support; accommodation services; grants (funds); and therapy were the most common service types identified in 2017-18.</w:t>
      </w:r>
    </w:p>
    <w:p w14:paraId="4CF1734A" w14:textId="77777777" w:rsidR="006316D2" w:rsidRPr="006B7882" w:rsidRDefault="006316D2" w:rsidP="000B6A67">
      <w:pPr>
        <w:pStyle w:val="ListParagraph"/>
        <w:numPr>
          <w:ilvl w:val="0"/>
          <w:numId w:val="25"/>
        </w:numPr>
        <w:spacing w:after="60"/>
        <w:ind w:left="714" w:hanging="357"/>
        <w:contextualSpacing w:val="0"/>
        <w:rPr>
          <w:rFonts w:eastAsiaTheme="majorEastAsia" w:cstheme="majorBidi"/>
          <w:bCs/>
          <w:iCs/>
          <w:color w:val="033349"/>
        </w:rPr>
      </w:pPr>
      <w:r w:rsidRPr="00916024">
        <w:rPr>
          <w:rFonts w:eastAsiaTheme="majorEastAsia" w:cstheme="majorBidi"/>
          <w:bCs/>
          <w:iCs/>
          <w:color w:val="033349"/>
        </w:rPr>
        <w:t xml:space="preserve">Mental health services: </w:t>
      </w:r>
      <w:r>
        <w:rPr>
          <w:rFonts w:eastAsiaTheme="majorEastAsia" w:cstheme="majorBidi"/>
          <w:bCs/>
          <w:iCs/>
          <w:color w:val="033349"/>
        </w:rPr>
        <w:t>psychiatrists and psychiatry;</w:t>
      </w:r>
      <w:r w:rsidRPr="00916024">
        <w:rPr>
          <w:rFonts w:eastAsiaTheme="majorEastAsia" w:cstheme="majorBidi"/>
          <w:bCs/>
          <w:iCs/>
          <w:color w:val="033349"/>
        </w:rPr>
        <w:t xml:space="preserve"> community mental health services</w:t>
      </w:r>
      <w:r>
        <w:rPr>
          <w:rFonts w:eastAsiaTheme="majorEastAsia" w:cstheme="majorBidi"/>
          <w:bCs/>
          <w:iCs/>
          <w:color w:val="033349"/>
        </w:rPr>
        <w:t>; and psychologist/psychotherapist</w:t>
      </w:r>
      <w:r w:rsidRPr="00916024">
        <w:rPr>
          <w:rFonts w:eastAsiaTheme="majorEastAsia" w:cstheme="majorBidi"/>
          <w:bCs/>
          <w:iCs/>
          <w:color w:val="033349"/>
        </w:rPr>
        <w:t xml:space="preserve"> </w:t>
      </w:r>
      <w:r>
        <w:rPr>
          <w:rFonts w:eastAsiaTheme="majorEastAsia" w:cstheme="majorBidi"/>
          <w:bCs/>
          <w:iCs/>
          <w:color w:val="033349"/>
        </w:rPr>
        <w:t>were the most common service types identified in 2017-18.</w:t>
      </w:r>
    </w:p>
    <w:p w14:paraId="65E0B9E5" w14:textId="77777777" w:rsidR="006316D2" w:rsidRPr="006316D2" w:rsidRDefault="006316D2" w:rsidP="006316D2">
      <w:pPr>
        <w:pStyle w:val="ListParagraph"/>
        <w:ind w:left="0"/>
        <w:rPr>
          <w:color w:val="033349"/>
          <w:sz w:val="20"/>
          <w:szCs w:val="20"/>
        </w:rPr>
      </w:pPr>
    </w:p>
    <w:p w14:paraId="1FFCF63F" w14:textId="77777777" w:rsidR="0046590A" w:rsidRDefault="006316D2" w:rsidP="006316D2">
      <w:pPr>
        <w:pStyle w:val="ListParagraph"/>
        <w:ind w:left="360"/>
        <w:rPr>
          <w:color w:val="033349"/>
        </w:rPr>
      </w:pPr>
      <w:r w:rsidRPr="00916024">
        <w:rPr>
          <w:color w:val="033349"/>
        </w:rPr>
        <w:t xml:space="preserve">As a result of HaDSCO’s </w:t>
      </w:r>
      <w:r>
        <w:rPr>
          <w:color w:val="033349"/>
        </w:rPr>
        <w:t>complaints management process, 163</w:t>
      </w:r>
      <w:r w:rsidRPr="00916024">
        <w:rPr>
          <w:color w:val="033349"/>
        </w:rPr>
        <w:t xml:space="preserve"> actions were taken by service providers to facilitate redress for </w:t>
      </w:r>
      <w:r>
        <w:rPr>
          <w:color w:val="033349"/>
        </w:rPr>
        <w:t>individuals making a complaint.</w:t>
      </w:r>
    </w:p>
    <w:p w14:paraId="76725F2F" w14:textId="77777777" w:rsidR="006316D2" w:rsidRDefault="006316D2" w:rsidP="006316D2">
      <w:pPr>
        <w:pStyle w:val="ListParagraph"/>
        <w:ind w:left="360"/>
        <w:rPr>
          <w:color w:val="033349"/>
        </w:rPr>
      </w:pPr>
    </w:p>
    <w:p w14:paraId="7B9E82F5" w14:textId="74C602D3" w:rsidR="00726786" w:rsidRPr="0046590A" w:rsidRDefault="006316D2" w:rsidP="000B6A67">
      <w:pPr>
        <w:pStyle w:val="ListParagraph"/>
        <w:numPr>
          <w:ilvl w:val="0"/>
          <w:numId w:val="7"/>
        </w:numPr>
        <w:ind w:left="360"/>
        <w:rPr>
          <w:color w:val="033349"/>
        </w:rPr>
      </w:pPr>
      <w:r>
        <w:rPr>
          <w:rFonts w:eastAsiaTheme="majorEastAsia" w:cstheme="majorBidi"/>
          <w:bCs/>
          <w:iCs/>
          <w:color w:val="033349"/>
        </w:rPr>
        <w:t>39</w:t>
      </w:r>
      <w:r w:rsidRPr="00916024">
        <w:rPr>
          <w:rFonts w:eastAsiaTheme="majorEastAsia" w:cstheme="majorBidi"/>
          <w:bCs/>
          <w:iCs/>
          <w:color w:val="033349"/>
        </w:rPr>
        <w:t xml:space="preserve"> service improvements were m</w:t>
      </w:r>
      <w:r>
        <w:rPr>
          <w:rFonts w:eastAsiaTheme="majorEastAsia" w:cstheme="majorBidi"/>
          <w:bCs/>
          <w:iCs/>
          <w:color w:val="033349"/>
        </w:rPr>
        <w:t xml:space="preserve">anaged as a result of </w:t>
      </w:r>
      <w:r w:rsidRPr="00916024">
        <w:rPr>
          <w:rFonts w:eastAsiaTheme="majorEastAsia" w:cstheme="majorBidi"/>
          <w:bCs/>
          <w:iCs/>
          <w:color w:val="033349"/>
        </w:rPr>
        <w:t>HaDSCO’s involvement.</w:t>
      </w:r>
    </w:p>
    <w:p w14:paraId="24146DE8" w14:textId="3225FDD0" w:rsidR="006400C4" w:rsidRDefault="006400C4">
      <w:pPr>
        <w:spacing w:after="200" w:line="276" w:lineRule="auto"/>
        <w:rPr>
          <w:color w:val="033349"/>
        </w:rPr>
      </w:pPr>
      <w:r>
        <w:rPr>
          <w:color w:val="033349"/>
        </w:rPr>
        <w:br w:type="page"/>
      </w:r>
    </w:p>
    <w:p w14:paraId="6E959766" w14:textId="303B6530" w:rsidR="003A070C" w:rsidRDefault="00B759F8" w:rsidP="003A070C">
      <w:pPr>
        <w:rPr>
          <w:rFonts w:eastAsiaTheme="majorEastAsia" w:cstheme="majorBidi"/>
          <w:b/>
          <w:bCs/>
          <w:iCs/>
          <w:color w:val="033349"/>
        </w:rPr>
      </w:pPr>
      <w:r w:rsidRPr="00A65CD7">
        <w:rPr>
          <w:rFonts w:eastAsiaTheme="majorEastAsia" w:cstheme="majorBidi"/>
          <w:bCs/>
          <w:iCs/>
          <w:noProof/>
          <w:color w:val="2487C4"/>
          <w:lang w:eastAsia="en-AU"/>
        </w:rPr>
        <w:lastRenderedPageBreak/>
        <mc:AlternateContent>
          <mc:Choice Requires="wps">
            <w:drawing>
              <wp:anchor distT="0" distB="0" distL="114300" distR="114300" simplePos="0" relativeHeight="252401664" behindDoc="1" locked="0" layoutInCell="1" allowOverlap="1" wp14:anchorId="77372874" wp14:editId="1A17D7FD">
                <wp:simplePos x="0" y="0"/>
                <wp:positionH relativeFrom="column">
                  <wp:posOffset>-357809</wp:posOffset>
                </wp:positionH>
                <wp:positionV relativeFrom="paragraph">
                  <wp:posOffset>-243012</wp:posOffset>
                </wp:positionV>
                <wp:extent cx="6506514" cy="9223513"/>
                <wp:effectExtent l="19050" t="19050" r="27940" b="15875"/>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6514" cy="9223513"/>
                        </a:xfrm>
                        <a:prstGeom prst="rect">
                          <a:avLst/>
                        </a:prstGeom>
                        <a:solidFill>
                          <a:srgbClr val="FFFFFF"/>
                        </a:solidFill>
                        <a:ln w="38100">
                          <a:solidFill>
                            <a:srgbClr val="033349"/>
                          </a:solidFill>
                          <a:miter lim="800000"/>
                          <a:headEnd/>
                          <a:tailEnd/>
                        </a:ln>
                      </wps:spPr>
                      <wps:txbx>
                        <w:txbxContent>
                          <w:p w14:paraId="3164FE60" w14:textId="77777777" w:rsidR="00A03A05" w:rsidRDefault="00A03A05" w:rsidP="006400C4">
                            <w:pPr>
                              <w:pStyle w:val="ListParagraph"/>
                              <w:ind w:left="3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margin-left:-28.15pt;margin-top:-19.15pt;width:512.3pt;height:726.25pt;z-index:-25091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" strokecolor="#033349" strokeweight="3pt">
                <v:textbox>
                  <w:txbxContent>
                    <w:p w14:paraId="3164FE60" w14:textId="77777777" w:rsidR="00A03A05" w:rsidRDefault="00A03A05" w:rsidP="006400C4">
                      <w:pPr>
                        <w:pStyle w:val="ListParagraph"/>
                        <w:ind w:left="360"/>
                      </w:pPr>
                    </w:p>
                  </w:txbxContent>
                </v:textbox>
              </v:shape>
            </w:pict>
          </mc:Fallback>
        </mc:AlternateContent>
      </w:r>
      <w:r w:rsidR="003A070C" w:rsidRPr="00916024">
        <w:rPr>
          <w:rFonts w:eastAsiaTheme="majorEastAsia" w:cstheme="majorBidi"/>
          <w:b/>
          <w:bCs/>
          <w:iCs/>
          <w:color w:val="033349"/>
        </w:rPr>
        <w:t>Key highlights for 201</w:t>
      </w:r>
      <w:r w:rsidR="003A070C">
        <w:rPr>
          <w:rFonts w:eastAsiaTheme="majorEastAsia" w:cstheme="majorBidi"/>
          <w:b/>
          <w:bCs/>
          <w:iCs/>
          <w:color w:val="033349"/>
        </w:rPr>
        <w:t>7</w:t>
      </w:r>
      <w:r w:rsidR="003A070C" w:rsidRPr="00916024">
        <w:rPr>
          <w:rFonts w:eastAsiaTheme="majorEastAsia" w:cstheme="majorBidi"/>
          <w:b/>
          <w:bCs/>
          <w:iCs/>
          <w:color w:val="033349"/>
        </w:rPr>
        <w:t>-1</w:t>
      </w:r>
      <w:r w:rsidR="003A070C">
        <w:rPr>
          <w:rFonts w:eastAsiaTheme="majorEastAsia" w:cstheme="majorBidi"/>
          <w:b/>
          <w:bCs/>
          <w:iCs/>
          <w:color w:val="033349"/>
        </w:rPr>
        <w:t>8</w:t>
      </w:r>
      <w:r w:rsidR="003A070C" w:rsidRPr="00916024">
        <w:rPr>
          <w:rFonts w:eastAsiaTheme="majorEastAsia" w:cstheme="majorBidi"/>
          <w:b/>
          <w:bCs/>
          <w:iCs/>
          <w:color w:val="033349"/>
        </w:rPr>
        <w:t xml:space="preserve"> for external complaints data are set out below:</w:t>
      </w:r>
    </w:p>
    <w:p w14:paraId="7BDE2740" w14:textId="77777777" w:rsidR="003A070C" w:rsidRPr="00916024" w:rsidRDefault="003A070C" w:rsidP="003A070C">
      <w:pPr>
        <w:rPr>
          <w:rFonts w:eastAsiaTheme="majorEastAsia" w:cstheme="majorBidi"/>
          <w:bCs/>
          <w:iCs/>
          <w:color w:val="033349"/>
        </w:rPr>
      </w:pPr>
    </w:p>
    <w:p w14:paraId="1494C48E" w14:textId="77777777" w:rsidR="003A070C" w:rsidRDefault="003A070C" w:rsidP="003A070C">
      <w:pPr>
        <w:pStyle w:val="ListParagraph"/>
        <w:numPr>
          <w:ilvl w:val="0"/>
          <w:numId w:val="7"/>
        </w:numPr>
        <w:ind w:left="360"/>
        <w:rPr>
          <w:rFonts w:eastAsiaTheme="majorEastAsia" w:cstheme="majorBidi"/>
          <w:bCs/>
          <w:iCs/>
          <w:color w:val="033349"/>
        </w:rPr>
      </w:pPr>
      <w:r>
        <w:rPr>
          <w:rFonts w:eastAsiaTheme="majorEastAsia" w:cstheme="majorBidi"/>
          <w:bCs/>
          <w:iCs/>
          <w:color w:val="033349"/>
        </w:rPr>
        <w:t>6,850</w:t>
      </w:r>
      <w:r w:rsidRPr="00916024">
        <w:rPr>
          <w:rFonts w:eastAsiaTheme="majorEastAsia" w:cstheme="majorBidi"/>
          <w:bCs/>
          <w:iCs/>
          <w:color w:val="033349"/>
        </w:rPr>
        <w:t xml:space="preserve"> complaints were received by </w:t>
      </w:r>
      <w:r>
        <w:rPr>
          <w:rFonts w:eastAsiaTheme="majorEastAsia" w:cstheme="majorBidi"/>
          <w:bCs/>
          <w:iCs/>
          <w:color w:val="033349"/>
        </w:rPr>
        <w:t xml:space="preserve">25 </w:t>
      </w:r>
      <w:r w:rsidRPr="00916024">
        <w:rPr>
          <w:rFonts w:eastAsiaTheme="majorEastAsia" w:cstheme="majorBidi"/>
          <w:bCs/>
          <w:iCs/>
          <w:color w:val="033349"/>
        </w:rPr>
        <w:t>prescribed</w:t>
      </w:r>
      <w:r>
        <w:rPr>
          <w:rFonts w:eastAsiaTheme="majorEastAsia" w:cstheme="majorBidi"/>
          <w:bCs/>
          <w:iCs/>
          <w:color w:val="033349"/>
        </w:rPr>
        <w:t xml:space="preserve"> health service providers covering complaints about health and mental health services, representing a 9.5% decrease compared to 2016-17.</w:t>
      </w:r>
    </w:p>
    <w:p w14:paraId="2A452A45" w14:textId="77777777" w:rsidR="003A070C" w:rsidRDefault="003A070C" w:rsidP="003A070C">
      <w:pPr>
        <w:pStyle w:val="ListParagraph"/>
        <w:ind w:left="360"/>
        <w:rPr>
          <w:rFonts w:eastAsiaTheme="majorEastAsia" w:cstheme="majorBidi"/>
          <w:bCs/>
          <w:iCs/>
          <w:color w:val="033349"/>
        </w:rPr>
      </w:pPr>
    </w:p>
    <w:p w14:paraId="3A7352C3" w14:textId="77777777" w:rsidR="003A070C" w:rsidRPr="00916024" w:rsidRDefault="003A070C" w:rsidP="003A070C">
      <w:pPr>
        <w:pStyle w:val="ListParagraph"/>
        <w:numPr>
          <w:ilvl w:val="0"/>
          <w:numId w:val="7"/>
        </w:numPr>
        <w:ind w:left="360"/>
        <w:rPr>
          <w:rFonts w:eastAsiaTheme="majorEastAsia" w:cstheme="majorBidi"/>
          <w:bCs/>
          <w:iCs/>
          <w:color w:val="033349"/>
        </w:rPr>
      </w:pPr>
      <w:r>
        <w:rPr>
          <w:rFonts w:eastAsiaTheme="majorEastAsia" w:cstheme="majorBidi"/>
          <w:bCs/>
          <w:iCs/>
          <w:color w:val="033349"/>
        </w:rPr>
        <w:t>449</w:t>
      </w:r>
      <w:r w:rsidRPr="00916024">
        <w:rPr>
          <w:rFonts w:eastAsiaTheme="majorEastAsia" w:cstheme="majorBidi"/>
          <w:bCs/>
          <w:iCs/>
          <w:color w:val="033349"/>
        </w:rPr>
        <w:t xml:space="preserve"> </w:t>
      </w:r>
      <w:r>
        <w:rPr>
          <w:rFonts w:eastAsiaTheme="majorEastAsia" w:cstheme="majorBidi"/>
          <w:bCs/>
          <w:iCs/>
          <w:color w:val="033349"/>
        </w:rPr>
        <w:t xml:space="preserve">complaints were received </w:t>
      </w:r>
      <w:r w:rsidRPr="00916024">
        <w:rPr>
          <w:rFonts w:eastAsiaTheme="majorEastAsia" w:cstheme="majorBidi"/>
          <w:bCs/>
          <w:iCs/>
          <w:color w:val="033349"/>
        </w:rPr>
        <w:t xml:space="preserve">from </w:t>
      </w:r>
      <w:r>
        <w:rPr>
          <w:rFonts w:eastAsiaTheme="majorEastAsia" w:cstheme="majorBidi"/>
          <w:bCs/>
          <w:iCs/>
          <w:color w:val="033349"/>
        </w:rPr>
        <w:t>20 prescribed disability service providers</w:t>
      </w:r>
      <w:r w:rsidRPr="00916024">
        <w:rPr>
          <w:rFonts w:eastAsiaTheme="majorEastAsia" w:cstheme="majorBidi"/>
          <w:bCs/>
          <w:iCs/>
          <w:color w:val="033349"/>
        </w:rPr>
        <w:t xml:space="preserve">, </w:t>
      </w:r>
      <w:r w:rsidRPr="00D349B8">
        <w:rPr>
          <w:rFonts w:eastAsiaTheme="majorEastAsia" w:cstheme="majorBidi"/>
          <w:bCs/>
          <w:iCs/>
          <w:color w:val="033349"/>
        </w:rPr>
        <w:t>representing a 3% decrease</w:t>
      </w:r>
      <w:r>
        <w:rPr>
          <w:rFonts w:eastAsiaTheme="majorEastAsia" w:cstheme="majorBidi"/>
          <w:bCs/>
          <w:iCs/>
          <w:color w:val="033349"/>
        </w:rPr>
        <w:t xml:space="preserve"> compared to 2016-17. </w:t>
      </w:r>
    </w:p>
    <w:p w14:paraId="753AD76E" w14:textId="77777777" w:rsidR="003A070C" w:rsidRPr="00916024" w:rsidRDefault="003A070C" w:rsidP="003A070C">
      <w:pPr>
        <w:rPr>
          <w:rFonts w:eastAsiaTheme="majorEastAsia" w:cstheme="majorBidi"/>
          <w:bCs/>
          <w:iCs/>
          <w:color w:val="033349"/>
        </w:rPr>
      </w:pPr>
    </w:p>
    <w:p w14:paraId="6D6799EF" w14:textId="25ACB616" w:rsidR="003A070C" w:rsidRPr="00F85D5A" w:rsidRDefault="003A070C" w:rsidP="00F85D5A">
      <w:pPr>
        <w:pStyle w:val="ListParagraph"/>
        <w:numPr>
          <w:ilvl w:val="0"/>
          <w:numId w:val="7"/>
        </w:numPr>
        <w:ind w:left="360"/>
        <w:rPr>
          <w:rFonts w:eastAsiaTheme="majorEastAsia" w:cstheme="majorBidi"/>
          <w:bCs/>
          <w:iCs/>
          <w:color w:val="033349"/>
        </w:rPr>
      </w:pPr>
      <w:r>
        <w:rPr>
          <w:rFonts w:eastAsiaTheme="majorEastAsia" w:cstheme="majorBidi"/>
          <w:bCs/>
          <w:iCs/>
          <w:color w:val="033349"/>
        </w:rPr>
        <w:t>In 2017-18, a</w:t>
      </w:r>
      <w:r w:rsidRPr="006B0316">
        <w:rPr>
          <w:rFonts w:eastAsiaTheme="majorEastAsia" w:cstheme="majorBidi"/>
          <w:bCs/>
          <w:iCs/>
          <w:color w:val="033349"/>
        </w:rPr>
        <w:t xml:space="preserve">ll types of service providers resolved </w:t>
      </w:r>
      <w:r>
        <w:rPr>
          <w:rFonts w:eastAsiaTheme="majorEastAsia" w:cstheme="majorBidi"/>
          <w:bCs/>
          <w:iCs/>
          <w:color w:val="033349"/>
        </w:rPr>
        <w:t>at least</w:t>
      </w:r>
      <w:r w:rsidRPr="006B0316">
        <w:rPr>
          <w:rFonts w:eastAsiaTheme="majorEastAsia" w:cstheme="majorBidi"/>
          <w:bCs/>
          <w:iCs/>
          <w:color w:val="033349"/>
        </w:rPr>
        <w:t xml:space="preserve"> </w:t>
      </w:r>
      <w:r>
        <w:rPr>
          <w:rFonts w:eastAsiaTheme="majorEastAsia" w:cstheme="majorBidi"/>
          <w:bCs/>
          <w:iCs/>
          <w:color w:val="033349"/>
        </w:rPr>
        <w:t>70</w:t>
      </w:r>
      <w:r w:rsidRPr="006B0316">
        <w:rPr>
          <w:rFonts w:eastAsiaTheme="majorEastAsia" w:cstheme="majorBidi"/>
          <w:bCs/>
          <w:iCs/>
          <w:color w:val="033349"/>
        </w:rPr>
        <w:t xml:space="preserve">% of complaints within 30 days. </w:t>
      </w:r>
      <w:r>
        <w:rPr>
          <w:rFonts w:eastAsiaTheme="majorEastAsia" w:cstheme="majorBidi"/>
          <w:bCs/>
          <w:iCs/>
          <w:color w:val="033349"/>
        </w:rPr>
        <w:t>Health and mental health service provider</w:t>
      </w:r>
      <w:r w:rsidR="007A37FA">
        <w:rPr>
          <w:rFonts w:eastAsiaTheme="majorEastAsia" w:cstheme="majorBidi"/>
          <w:bCs/>
          <w:iCs/>
          <w:color w:val="033349"/>
        </w:rPr>
        <w:t>s</w:t>
      </w:r>
      <w:r>
        <w:rPr>
          <w:rFonts w:eastAsiaTheme="majorEastAsia" w:cstheme="majorBidi"/>
          <w:bCs/>
          <w:iCs/>
          <w:color w:val="033349"/>
        </w:rPr>
        <w:t xml:space="preserve"> resolved at least 95% of complaints within 90 days in 2017-18, while disability service providers resolved at least 90% of complaints within 90 days in 2017-18.</w:t>
      </w:r>
    </w:p>
    <w:p w14:paraId="3A895325" w14:textId="77777777" w:rsidR="003A070C" w:rsidRPr="00DC0647" w:rsidRDefault="003A070C" w:rsidP="003A070C">
      <w:pPr>
        <w:pStyle w:val="ListParagraph"/>
        <w:ind w:left="426"/>
        <w:rPr>
          <w:color w:val="033349"/>
          <w:highlight w:val="yellow"/>
        </w:rPr>
      </w:pPr>
    </w:p>
    <w:p w14:paraId="41478CE1" w14:textId="77777777" w:rsidR="003A070C" w:rsidRPr="00F85D5A" w:rsidRDefault="003A070C" w:rsidP="00F85D5A">
      <w:pPr>
        <w:pStyle w:val="ListParagraph"/>
        <w:numPr>
          <w:ilvl w:val="0"/>
          <w:numId w:val="7"/>
        </w:numPr>
        <w:ind w:left="284" w:hanging="284"/>
        <w:rPr>
          <w:rFonts w:eastAsiaTheme="majorEastAsia" w:cstheme="majorBidi"/>
          <w:bCs/>
          <w:iCs/>
          <w:color w:val="033349"/>
        </w:rPr>
      </w:pPr>
      <w:r w:rsidRPr="00F43107">
        <w:rPr>
          <w:rFonts w:eastAsiaTheme="majorEastAsia" w:cstheme="majorBidi"/>
          <w:bCs/>
          <w:iCs/>
          <w:color w:val="033349"/>
        </w:rPr>
        <w:t>The issues raised in the complaints received by prescribed providers differ depending on whether the complaint concerned a health, disability or mental health service:</w:t>
      </w:r>
    </w:p>
    <w:p w14:paraId="70F476CA" w14:textId="77777777" w:rsidR="003A070C" w:rsidRPr="00F43107" w:rsidRDefault="003A070C" w:rsidP="003A070C">
      <w:pPr>
        <w:pStyle w:val="ListParagraph"/>
        <w:ind w:left="426"/>
        <w:rPr>
          <w:rFonts w:eastAsiaTheme="majorEastAsia" w:cstheme="majorBidi"/>
          <w:bCs/>
          <w:iCs/>
          <w:color w:val="033349"/>
        </w:rPr>
      </w:pPr>
    </w:p>
    <w:p w14:paraId="6D7E2887" w14:textId="77777777" w:rsidR="003A070C" w:rsidRPr="00F43107" w:rsidRDefault="003A070C" w:rsidP="003A070C">
      <w:pPr>
        <w:pStyle w:val="ListParagraph"/>
        <w:numPr>
          <w:ilvl w:val="0"/>
          <w:numId w:val="25"/>
        </w:numPr>
        <w:spacing w:after="60"/>
        <w:ind w:left="714" w:hanging="357"/>
        <w:contextualSpacing w:val="0"/>
        <w:rPr>
          <w:rFonts w:eastAsiaTheme="majorEastAsia" w:cstheme="majorBidi"/>
          <w:bCs/>
          <w:iCs/>
          <w:color w:val="033349"/>
        </w:rPr>
      </w:pPr>
      <w:r>
        <w:rPr>
          <w:rFonts w:eastAsiaTheme="majorEastAsia" w:cstheme="majorBidi"/>
          <w:bCs/>
          <w:iCs/>
          <w:color w:val="033349"/>
        </w:rPr>
        <w:t>In 2017-18, h</w:t>
      </w:r>
      <w:r w:rsidRPr="00F43107">
        <w:rPr>
          <w:rFonts w:eastAsiaTheme="majorEastAsia" w:cstheme="majorBidi"/>
          <w:bCs/>
          <w:iCs/>
          <w:color w:val="033349"/>
        </w:rPr>
        <w:t>ealth complaints typically concerned the quality of cli</w:t>
      </w:r>
      <w:r>
        <w:rPr>
          <w:rFonts w:eastAsiaTheme="majorEastAsia" w:cstheme="majorBidi"/>
          <w:bCs/>
          <w:iCs/>
          <w:color w:val="033349"/>
        </w:rPr>
        <w:t xml:space="preserve">nical care (34%); </w:t>
      </w:r>
      <w:r w:rsidRPr="00F43107">
        <w:rPr>
          <w:rFonts w:eastAsiaTheme="majorEastAsia" w:cstheme="majorBidi"/>
          <w:bCs/>
          <w:iCs/>
          <w:color w:val="033349"/>
        </w:rPr>
        <w:t>communication</w:t>
      </w:r>
      <w:r>
        <w:rPr>
          <w:rFonts w:eastAsiaTheme="majorEastAsia" w:cstheme="majorBidi"/>
          <w:bCs/>
          <w:iCs/>
          <w:color w:val="033349"/>
        </w:rPr>
        <w:t xml:space="preserve"> (21%); access (16%);</w:t>
      </w:r>
      <w:r w:rsidRPr="00F43107">
        <w:rPr>
          <w:rFonts w:eastAsiaTheme="majorEastAsia" w:cstheme="majorBidi"/>
          <w:bCs/>
          <w:iCs/>
          <w:color w:val="033349"/>
        </w:rPr>
        <w:t xml:space="preserve"> and </w:t>
      </w:r>
      <w:r>
        <w:rPr>
          <w:rFonts w:eastAsiaTheme="majorEastAsia" w:cstheme="majorBidi"/>
          <w:bCs/>
          <w:iCs/>
          <w:color w:val="033349"/>
        </w:rPr>
        <w:t>rights, respect and dignity (10%)</w:t>
      </w:r>
      <w:r w:rsidRPr="00F43107">
        <w:rPr>
          <w:rFonts w:eastAsiaTheme="majorEastAsia" w:cstheme="majorBidi"/>
          <w:bCs/>
          <w:iCs/>
          <w:color w:val="033349"/>
        </w:rPr>
        <w:t>.</w:t>
      </w:r>
      <w:r>
        <w:rPr>
          <w:rFonts w:eastAsiaTheme="majorEastAsia" w:cstheme="majorBidi"/>
          <w:bCs/>
          <w:iCs/>
          <w:color w:val="033349"/>
        </w:rPr>
        <w:t xml:space="preserve"> The complaint issues have remained stable over the past three years, with the proportion of complaints identifying a given issue remaining largely unchanged.</w:t>
      </w:r>
    </w:p>
    <w:p w14:paraId="1BE5BAB5" w14:textId="77F34111" w:rsidR="003A070C" w:rsidRPr="006B0316" w:rsidRDefault="007A37FA" w:rsidP="003A070C">
      <w:pPr>
        <w:pStyle w:val="ListParagraph"/>
        <w:numPr>
          <w:ilvl w:val="0"/>
          <w:numId w:val="25"/>
        </w:numPr>
        <w:spacing w:after="60"/>
        <w:ind w:left="714" w:hanging="357"/>
        <w:contextualSpacing w:val="0"/>
        <w:rPr>
          <w:rFonts w:eastAsiaTheme="majorEastAsia" w:cstheme="majorBidi"/>
          <w:bCs/>
          <w:iCs/>
          <w:color w:val="033349"/>
        </w:rPr>
      </w:pPr>
      <w:r>
        <w:rPr>
          <w:rFonts w:eastAsiaTheme="majorEastAsia" w:cstheme="majorBidi"/>
          <w:bCs/>
          <w:iCs/>
          <w:color w:val="033349"/>
        </w:rPr>
        <w:t>In 2017-18, d</w:t>
      </w:r>
      <w:r w:rsidR="003A070C" w:rsidRPr="006B0316">
        <w:rPr>
          <w:rFonts w:eastAsiaTheme="majorEastAsia" w:cstheme="majorBidi"/>
          <w:bCs/>
          <w:iCs/>
          <w:color w:val="033349"/>
        </w:rPr>
        <w:t xml:space="preserve">isability complaints typically concerned staff </w:t>
      </w:r>
      <w:r w:rsidR="003A070C">
        <w:rPr>
          <w:rFonts w:eastAsiaTheme="majorEastAsia" w:cstheme="majorBidi"/>
          <w:bCs/>
          <w:iCs/>
          <w:color w:val="033349"/>
        </w:rPr>
        <w:t>related issues (52%);</w:t>
      </w:r>
      <w:r w:rsidR="003A070C" w:rsidRPr="006B0316">
        <w:rPr>
          <w:rFonts w:eastAsiaTheme="majorEastAsia" w:cstheme="majorBidi"/>
          <w:bCs/>
          <w:iCs/>
          <w:color w:val="033349"/>
        </w:rPr>
        <w:t xml:space="preserve"> </w:t>
      </w:r>
      <w:r w:rsidR="003A070C">
        <w:rPr>
          <w:rFonts w:eastAsiaTheme="majorEastAsia" w:cstheme="majorBidi"/>
          <w:bCs/>
          <w:iCs/>
          <w:color w:val="033349"/>
        </w:rPr>
        <w:t>service delivery (51%);</w:t>
      </w:r>
      <w:r w:rsidR="003A070C" w:rsidRPr="006B0316">
        <w:rPr>
          <w:rFonts w:eastAsiaTheme="majorEastAsia" w:cstheme="majorBidi"/>
          <w:bCs/>
          <w:iCs/>
          <w:color w:val="033349"/>
        </w:rPr>
        <w:t xml:space="preserve"> and communication</w:t>
      </w:r>
      <w:r w:rsidR="003A070C">
        <w:rPr>
          <w:rFonts w:eastAsiaTheme="majorEastAsia" w:cstheme="majorBidi"/>
          <w:bCs/>
          <w:iCs/>
          <w:color w:val="033349"/>
        </w:rPr>
        <w:t>/relationships (37%). These complaint issues have remained the most common issues identified across the past three years.</w:t>
      </w:r>
    </w:p>
    <w:p w14:paraId="57386860" w14:textId="77777777" w:rsidR="003A070C" w:rsidRPr="00F43107" w:rsidRDefault="003A070C" w:rsidP="003A070C">
      <w:pPr>
        <w:pStyle w:val="ListParagraph"/>
        <w:numPr>
          <w:ilvl w:val="0"/>
          <w:numId w:val="25"/>
        </w:numPr>
        <w:spacing w:after="60"/>
        <w:ind w:left="714" w:hanging="357"/>
        <w:contextualSpacing w:val="0"/>
        <w:rPr>
          <w:rFonts w:eastAsiaTheme="majorEastAsia" w:cstheme="majorBidi"/>
          <w:bCs/>
          <w:iCs/>
          <w:color w:val="033349"/>
        </w:rPr>
      </w:pPr>
      <w:r>
        <w:rPr>
          <w:rFonts w:eastAsiaTheme="majorEastAsia" w:cstheme="majorBidi"/>
          <w:bCs/>
          <w:iCs/>
          <w:color w:val="033349"/>
        </w:rPr>
        <w:t>In 2017-18, m</w:t>
      </w:r>
      <w:r w:rsidRPr="00F43107">
        <w:rPr>
          <w:rFonts w:eastAsiaTheme="majorEastAsia" w:cstheme="majorBidi"/>
          <w:bCs/>
          <w:iCs/>
          <w:color w:val="033349"/>
        </w:rPr>
        <w:t>ental health complaints typically con</w:t>
      </w:r>
      <w:r>
        <w:rPr>
          <w:rFonts w:eastAsiaTheme="majorEastAsia" w:cstheme="majorBidi"/>
          <w:bCs/>
          <w:iCs/>
          <w:color w:val="033349"/>
        </w:rPr>
        <w:t>cerned quality of clinical care (32%);</w:t>
      </w:r>
      <w:r w:rsidRPr="00F43107">
        <w:rPr>
          <w:rFonts w:eastAsiaTheme="majorEastAsia" w:cstheme="majorBidi"/>
          <w:bCs/>
          <w:iCs/>
          <w:color w:val="033349"/>
        </w:rPr>
        <w:t xml:space="preserve"> communication</w:t>
      </w:r>
      <w:r>
        <w:rPr>
          <w:rFonts w:eastAsiaTheme="majorEastAsia" w:cstheme="majorBidi"/>
          <w:bCs/>
          <w:iCs/>
          <w:color w:val="033349"/>
        </w:rPr>
        <w:t xml:space="preserve"> (24%);</w:t>
      </w:r>
      <w:r w:rsidRPr="00F43107">
        <w:rPr>
          <w:rFonts w:eastAsiaTheme="majorEastAsia" w:cstheme="majorBidi"/>
          <w:bCs/>
          <w:iCs/>
          <w:color w:val="033349"/>
        </w:rPr>
        <w:t xml:space="preserve"> </w:t>
      </w:r>
      <w:r>
        <w:rPr>
          <w:rFonts w:eastAsiaTheme="majorEastAsia" w:cstheme="majorBidi"/>
          <w:bCs/>
          <w:iCs/>
          <w:color w:val="033349"/>
        </w:rPr>
        <w:t xml:space="preserve">access (13%); and </w:t>
      </w:r>
      <w:r w:rsidRPr="00F43107">
        <w:rPr>
          <w:rFonts w:eastAsiaTheme="majorEastAsia" w:cstheme="majorBidi"/>
          <w:bCs/>
          <w:iCs/>
          <w:color w:val="033349"/>
        </w:rPr>
        <w:t>rights, respect and dignity</w:t>
      </w:r>
      <w:r>
        <w:rPr>
          <w:rFonts w:eastAsiaTheme="majorEastAsia" w:cstheme="majorBidi"/>
          <w:bCs/>
          <w:iCs/>
          <w:color w:val="033349"/>
        </w:rPr>
        <w:t xml:space="preserve"> (11%)</w:t>
      </w:r>
      <w:r w:rsidRPr="00F43107">
        <w:rPr>
          <w:rFonts w:eastAsiaTheme="majorEastAsia" w:cstheme="majorBidi"/>
          <w:bCs/>
          <w:iCs/>
          <w:color w:val="033349"/>
        </w:rPr>
        <w:t xml:space="preserve">. </w:t>
      </w:r>
      <w:r>
        <w:rPr>
          <w:rFonts w:eastAsiaTheme="majorEastAsia" w:cstheme="majorBidi"/>
          <w:bCs/>
          <w:iCs/>
          <w:color w:val="033349"/>
        </w:rPr>
        <w:t>These four issues have remained the most common issues identified over the past three years.</w:t>
      </w:r>
    </w:p>
    <w:p w14:paraId="2A0914AD" w14:textId="77777777" w:rsidR="003A070C" w:rsidRPr="00DC0647" w:rsidRDefault="003A070C" w:rsidP="003A070C">
      <w:pPr>
        <w:spacing w:after="60"/>
        <w:ind w:left="426"/>
        <w:rPr>
          <w:rFonts w:eastAsiaTheme="majorEastAsia" w:cstheme="majorBidi"/>
          <w:bCs/>
          <w:iCs/>
          <w:color w:val="033349"/>
          <w:highlight w:val="yellow"/>
        </w:rPr>
      </w:pPr>
    </w:p>
    <w:p w14:paraId="6BD5EA72" w14:textId="77777777" w:rsidR="001651F7" w:rsidRPr="00F85D5A" w:rsidRDefault="003A070C" w:rsidP="00F85D5A">
      <w:pPr>
        <w:pStyle w:val="ListParagraph"/>
        <w:numPr>
          <w:ilvl w:val="0"/>
          <w:numId w:val="7"/>
        </w:numPr>
        <w:ind w:left="360"/>
        <w:rPr>
          <w:rFonts w:eastAsiaTheme="majorEastAsia" w:cstheme="majorBidi"/>
          <w:bCs/>
          <w:iCs/>
          <w:color w:val="033349"/>
        </w:rPr>
      </w:pPr>
      <w:r w:rsidRPr="007F377E">
        <w:rPr>
          <w:rFonts w:eastAsiaTheme="majorEastAsia" w:cstheme="majorBidi"/>
          <w:bCs/>
          <w:iCs/>
          <w:color w:val="033349"/>
        </w:rPr>
        <w:t>The complaint outcomes commonly achieved were consistent across all service provider types over the past three years. The most common outcomes were acknowledgement of the individual's views or issues; an explanation or information about services provided; or an apology from the service.</w:t>
      </w:r>
    </w:p>
    <w:p w14:paraId="396AF69B" w14:textId="08901346" w:rsidR="003A070C" w:rsidRPr="007F377E" w:rsidRDefault="003A070C" w:rsidP="001651F7">
      <w:pPr>
        <w:pStyle w:val="ListParagraph"/>
        <w:spacing w:after="60"/>
        <w:ind w:left="426"/>
        <w:contextualSpacing w:val="0"/>
      </w:pPr>
      <w:r w:rsidRPr="007F377E">
        <w:rPr>
          <w:rFonts w:eastAsiaTheme="majorEastAsia" w:cstheme="majorBidi"/>
          <w:bCs/>
          <w:iCs/>
          <w:color w:val="033349"/>
        </w:rPr>
        <w:t xml:space="preserve"> </w:t>
      </w:r>
    </w:p>
    <w:p w14:paraId="57837644" w14:textId="77777777" w:rsidR="003A070C" w:rsidRDefault="003A070C" w:rsidP="006B7882">
      <w:pPr>
        <w:pStyle w:val="ListParagraph"/>
        <w:spacing w:after="60"/>
        <w:ind w:left="714"/>
        <w:contextualSpacing w:val="0"/>
        <w:rPr>
          <w:rFonts w:eastAsiaTheme="majorEastAsia" w:cstheme="majorBidi"/>
          <w:bCs/>
          <w:iCs/>
          <w:color w:val="033349"/>
        </w:rPr>
      </w:pPr>
    </w:p>
    <w:p w14:paraId="695D065D" w14:textId="77777777" w:rsidR="003A070C" w:rsidRDefault="003A070C" w:rsidP="006B7882">
      <w:pPr>
        <w:pStyle w:val="ListParagraph"/>
        <w:spacing w:after="60"/>
        <w:ind w:left="714"/>
        <w:contextualSpacing w:val="0"/>
        <w:rPr>
          <w:rFonts w:eastAsiaTheme="majorEastAsia" w:cstheme="majorBidi"/>
          <w:bCs/>
          <w:iCs/>
          <w:color w:val="033349"/>
        </w:rPr>
      </w:pPr>
    </w:p>
    <w:p w14:paraId="30C9FAB3" w14:textId="77777777" w:rsidR="003A070C" w:rsidRDefault="003A070C" w:rsidP="006B7882">
      <w:pPr>
        <w:pStyle w:val="ListParagraph"/>
        <w:spacing w:after="60"/>
        <w:ind w:left="714"/>
        <w:contextualSpacing w:val="0"/>
        <w:rPr>
          <w:rFonts w:eastAsiaTheme="majorEastAsia" w:cstheme="majorBidi"/>
          <w:bCs/>
          <w:iCs/>
          <w:color w:val="033349"/>
        </w:rPr>
      </w:pPr>
    </w:p>
    <w:p w14:paraId="10C79A18" w14:textId="1C77DAA8" w:rsidR="006B7882" w:rsidRDefault="006B7882" w:rsidP="006B7882">
      <w:pPr>
        <w:pStyle w:val="ListParagraph"/>
        <w:spacing w:after="60"/>
        <w:ind w:left="714"/>
        <w:contextualSpacing w:val="0"/>
        <w:rPr>
          <w:rFonts w:eastAsiaTheme="majorEastAsia" w:cstheme="majorBidi"/>
          <w:bCs/>
          <w:iCs/>
          <w:color w:val="033349"/>
        </w:rPr>
      </w:pPr>
    </w:p>
    <w:p w14:paraId="546F4BD5" w14:textId="4B2318B6" w:rsidR="00262EB8" w:rsidRPr="006B7882" w:rsidRDefault="00262EB8" w:rsidP="006B7882">
      <w:pPr>
        <w:pStyle w:val="ListParagraph"/>
        <w:spacing w:after="60"/>
        <w:ind w:left="714"/>
        <w:contextualSpacing w:val="0"/>
        <w:rPr>
          <w:rFonts w:eastAsiaTheme="majorEastAsia" w:cstheme="majorBidi"/>
          <w:bCs/>
          <w:iCs/>
          <w:color w:val="033349"/>
        </w:rPr>
      </w:pPr>
    </w:p>
    <w:p w14:paraId="4CBCFE4C" w14:textId="77777777" w:rsidR="00262EB8" w:rsidRPr="00916024" w:rsidRDefault="00262EB8" w:rsidP="00262EB8">
      <w:pPr>
        <w:pStyle w:val="Heading3"/>
        <w:ind w:left="426"/>
        <w:rPr>
          <w:color w:val="033349"/>
        </w:rPr>
      </w:pPr>
    </w:p>
    <w:p w14:paraId="0974943C" w14:textId="77777777" w:rsidR="00262EB8" w:rsidRPr="00916024" w:rsidRDefault="00262EB8" w:rsidP="00262EB8">
      <w:pPr>
        <w:rPr>
          <w:color w:val="033349"/>
        </w:rPr>
      </w:pPr>
    </w:p>
    <w:p w14:paraId="5867877B" w14:textId="77777777" w:rsidR="0089584A" w:rsidRDefault="0089584A" w:rsidP="0089584A"/>
    <w:p w14:paraId="16C550AE" w14:textId="77777777" w:rsidR="0089584A" w:rsidRDefault="0089584A" w:rsidP="0089584A"/>
    <w:p w14:paraId="45E9C72E" w14:textId="77777777" w:rsidR="006316D2" w:rsidRDefault="006316D2" w:rsidP="0089584A"/>
    <w:bookmarkStart w:id="6" w:name="_Toc493506746"/>
    <w:bookmarkStart w:id="7" w:name="_Toc522094792"/>
    <w:bookmarkStart w:id="8" w:name="_Hlk519014759"/>
    <w:p w14:paraId="2AB4D244" w14:textId="60DE9CB4" w:rsidR="0040621A" w:rsidRPr="00917FE9" w:rsidRDefault="003F4A8C" w:rsidP="000B6A67">
      <w:pPr>
        <w:pStyle w:val="Heading2"/>
        <w:numPr>
          <w:ilvl w:val="1"/>
          <w:numId w:val="18"/>
        </w:numPr>
        <w:rPr>
          <w:color w:val="033349"/>
        </w:rPr>
      </w:pPr>
      <w:r w:rsidRPr="00917FE9">
        <w:rPr>
          <w:noProof/>
          <w:lang w:eastAsia="en-AU"/>
        </w:rPr>
        <w:lastRenderedPageBreak/>
        <mc:AlternateContent>
          <mc:Choice Requires="wps">
            <w:drawing>
              <wp:anchor distT="0" distB="0" distL="114300" distR="114300" simplePos="0" relativeHeight="252673024" behindDoc="1" locked="0" layoutInCell="1" allowOverlap="1" wp14:anchorId="778AF7ED" wp14:editId="381796CC">
                <wp:simplePos x="0" y="0"/>
                <wp:positionH relativeFrom="column">
                  <wp:posOffset>2437975</wp:posOffset>
                </wp:positionH>
                <wp:positionV relativeFrom="paragraph">
                  <wp:posOffset>-501129</wp:posOffset>
                </wp:positionV>
                <wp:extent cx="994830" cy="5709920"/>
                <wp:effectExtent l="23495" t="14605" r="19685" b="19685"/>
                <wp:wrapNone/>
                <wp:docPr id="116" name="Pentagon 43"/>
                <wp:cNvGraphicFramePr/>
                <a:graphic xmlns:a="http://schemas.openxmlformats.org/drawingml/2006/main">
                  <a:graphicData uri="http://schemas.microsoft.com/office/word/2010/wordprocessingShape">
                    <wps:wsp>
                      <wps:cNvSpPr/>
                      <wps:spPr>
                        <a:xfrm rot="5400000">
                          <a:off x="0" y="0"/>
                          <a:ext cx="994830" cy="5709920"/>
                        </a:xfrm>
                        <a:prstGeom prst="homePlate">
                          <a:avLst>
                            <a:gd name="adj" fmla="val 19994"/>
                          </a:avLst>
                        </a:prstGeom>
                        <a:ln w="38100">
                          <a:solidFill>
                            <a:schemeClr val="tx2">
                              <a:lumMod val="60000"/>
                              <a:lumOff val="40000"/>
                            </a:schemeClr>
                          </a:solidFill>
                        </a:ln>
                      </wps:spPr>
                      <wps:style>
                        <a:lnRef idx="2">
                          <a:schemeClr val="accent1"/>
                        </a:lnRef>
                        <a:fillRef idx="1">
                          <a:schemeClr val="lt1"/>
                        </a:fillRef>
                        <a:effectRef idx="0">
                          <a:schemeClr val="accent1"/>
                        </a:effectRef>
                        <a:fontRef idx="minor">
                          <a:schemeClr val="dk1"/>
                        </a:fontRef>
                      </wps:style>
                      <wps:txbx>
                        <w:txbxContent>
                          <w:p w14:paraId="0C71D1F1" w14:textId="77777777" w:rsidR="00A03A05" w:rsidRPr="00BB2C52" w:rsidRDefault="00A03A05" w:rsidP="003F4A8C">
                            <w:pPr>
                              <w:jc w:val="center"/>
                            </w:pP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43" o:spid="_x0000_s1053" type="#_x0000_t15" style="position:absolute;left:0;text-align:left;margin-left:191.95pt;margin-top:-39.45pt;width:78.35pt;height:449.6pt;rotation:90;z-index:-25064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" adj="17281" fillcolor="white [3201]" strokecolor="#548dd4 [1951]" strokeweight="3pt">
                <v:textbox style="layout-flow:vertical;mso-layout-flow-alt:bottom-to-top">
                  <w:txbxContent>
                    <w:p w14:paraId="0C71D1F1" w14:textId="77777777" w:rsidR="00A03A05" w:rsidRPr="00BB2C52" w:rsidRDefault="00A03A05" w:rsidP="003F4A8C">
                      <w:pPr>
                        <w:jc w:val="center"/>
                      </w:pPr>
                    </w:p>
                  </w:txbxContent>
                </v:textbox>
              </v:shape>
            </w:pict>
          </mc:Fallback>
        </mc:AlternateContent>
      </w:r>
      <w:r w:rsidR="00872E70" w:rsidRPr="00917FE9">
        <w:rPr>
          <w:color w:val="033349"/>
        </w:rPr>
        <w:t>Our</w:t>
      </w:r>
      <w:r w:rsidR="00E76E6D" w:rsidRPr="00917FE9">
        <w:rPr>
          <w:color w:val="033349"/>
        </w:rPr>
        <w:t xml:space="preserve"> </w:t>
      </w:r>
      <w:r w:rsidR="0040621A" w:rsidRPr="00917FE9">
        <w:rPr>
          <w:color w:val="033349"/>
        </w:rPr>
        <w:t>complaints management process</w:t>
      </w:r>
      <w:bookmarkEnd w:id="5"/>
      <w:bookmarkEnd w:id="6"/>
      <w:bookmarkEnd w:id="7"/>
    </w:p>
    <w:p w14:paraId="75F3573D" w14:textId="77777777" w:rsidR="00837CCE" w:rsidRPr="00837CCE" w:rsidRDefault="00837CCE" w:rsidP="00837CCE"/>
    <w:p w14:paraId="382B56BA" w14:textId="322968CF" w:rsidR="0040621A" w:rsidRDefault="0040621A" w:rsidP="00C22296">
      <w:r w:rsidRPr="00695650">
        <w:t>HaDSCO takes a resolution based approach to managing complaints.</w:t>
      </w:r>
      <w:r w:rsidRPr="00686721">
        <w:t xml:space="preserve"> </w:t>
      </w:r>
      <w:r w:rsidRPr="00695650">
        <w:t xml:space="preserve">We aim to resolve complaints as informally as possible and in the most timely and efficient manner. </w:t>
      </w:r>
      <w:r w:rsidRPr="00C42050">
        <w:t>There are three main stages in th</w:t>
      </w:r>
      <w:r w:rsidR="00955B77">
        <w:t>e complaints management process</w:t>
      </w:r>
      <w:r w:rsidR="00EE6CD7">
        <w:t>:</w:t>
      </w:r>
      <w:r w:rsidR="00955B77">
        <w:t xml:space="preserve"> e</w:t>
      </w:r>
      <w:r>
        <w:t>nquiry</w:t>
      </w:r>
      <w:r w:rsidR="00955B77">
        <w:t>; a</w:t>
      </w:r>
      <w:r>
        <w:t>ssessment</w:t>
      </w:r>
      <w:r w:rsidR="00955B77">
        <w:t>; and c</w:t>
      </w:r>
      <w:r>
        <w:t>omplaint resolution incl</w:t>
      </w:r>
      <w:r w:rsidR="00592BAA">
        <w:t>uding negotiated settlemen</w:t>
      </w:r>
      <w:r w:rsidR="00A37D0D">
        <w:t>t</w:t>
      </w:r>
      <w:r w:rsidR="00592BAA">
        <w:t xml:space="preserve">, </w:t>
      </w:r>
      <w:r>
        <w:t>conciliation or investigation</w:t>
      </w:r>
      <w:r w:rsidR="00C22296">
        <w:t>.</w:t>
      </w:r>
    </w:p>
    <w:p w14:paraId="71AAEE1E" w14:textId="77777777" w:rsidR="00837CCE" w:rsidRDefault="00837CCE" w:rsidP="00837CCE">
      <w:pPr>
        <w:spacing w:line="276" w:lineRule="auto"/>
      </w:pPr>
    </w:p>
    <w:p w14:paraId="457DD8DA" w14:textId="0343F740" w:rsidR="00837CCE" w:rsidRDefault="00837CCE" w:rsidP="00837CCE">
      <w:pPr>
        <w:spacing w:line="276" w:lineRule="auto"/>
      </w:pPr>
      <w:bookmarkStart w:id="9" w:name="_Hlk519014767"/>
      <w:bookmarkEnd w:id="8"/>
      <w:r>
        <w:t>This information is represented visually below:</w:t>
      </w:r>
      <w:bookmarkEnd w:id="9"/>
    </w:p>
    <w:p w14:paraId="112139A5" w14:textId="77777777" w:rsidR="0041542C" w:rsidRDefault="0041542C" w:rsidP="0040621A">
      <w:pPr>
        <w:sectPr w:rsidR="0041542C" w:rsidSect="00277036">
          <w:footerReference w:type="default" r:id="rId11"/>
          <w:headerReference w:type="first" r:id="rId12"/>
          <w:footerReference w:type="first" r:id="rId13"/>
          <w:type w:val="continuous"/>
          <w:pgSz w:w="11907" w:h="16840" w:code="9"/>
          <w:pgMar w:top="1134" w:right="1440" w:bottom="1440" w:left="1440" w:header="720" w:footer="709" w:gutter="0"/>
          <w:pgNumType w:start="12"/>
          <w:cols w:space="720"/>
          <w:titlePg/>
          <w:docGrid w:linePitch="326"/>
        </w:sectPr>
      </w:pPr>
    </w:p>
    <w:p w14:paraId="517BF835" w14:textId="61711203" w:rsidR="003F4A8C" w:rsidRDefault="00CF7826" w:rsidP="003F4A8C">
      <w:r w:rsidRPr="003F4A8C">
        <w:rPr>
          <w:rFonts w:eastAsiaTheme="majorEastAsia" w:cstheme="majorBidi"/>
          <w:b/>
          <w:bCs/>
          <w:iCs/>
          <w:noProof/>
          <w:color w:val="365F91" w:themeColor="accent1" w:themeShade="BF"/>
          <w:lang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lastRenderedPageBreak/>
        <mc:AlternateContent>
          <mc:Choice Requires="wps">
            <w:drawing>
              <wp:anchor distT="0" distB="0" distL="114300" distR="114300" simplePos="0" relativeHeight="252679168" behindDoc="1" locked="0" layoutInCell="1" allowOverlap="1" wp14:anchorId="4B8CCEE0" wp14:editId="56A923AD">
                <wp:simplePos x="0" y="0"/>
                <wp:positionH relativeFrom="column">
                  <wp:posOffset>1144587</wp:posOffset>
                </wp:positionH>
                <wp:positionV relativeFrom="paragraph">
                  <wp:posOffset>127054</wp:posOffset>
                </wp:positionV>
                <wp:extent cx="3566795" cy="5726430"/>
                <wp:effectExtent l="25083" t="32067" r="20637" b="39688"/>
                <wp:wrapNone/>
                <wp:docPr id="323" name="Chevron 41"/>
                <wp:cNvGraphicFramePr/>
                <a:graphic xmlns:a="http://schemas.openxmlformats.org/drawingml/2006/main">
                  <a:graphicData uri="http://schemas.microsoft.com/office/word/2010/wordprocessingShape">
                    <wps:wsp>
                      <wps:cNvSpPr/>
                      <wps:spPr>
                        <a:xfrm rot="5400000">
                          <a:off x="0" y="0"/>
                          <a:ext cx="3566795" cy="5726430"/>
                        </a:xfrm>
                        <a:prstGeom prst="chevron">
                          <a:avLst>
                            <a:gd name="adj" fmla="val 6379"/>
                          </a:avLst>
                        </a:prstGeom>
                        <a:ln w="38100">
                          <a:solidFill>
                            <a:schemeClr val="accent6">
                              <a:lumMod val="75000"/>
                            </a:schemeClr>
                          </a:solidFill>
                        </a:ln>
                      </wps:spPr>
                      <wps:style>
                        <a:lnRef idx="2">
                          <a:schemeClr val="accent1"/>
                        </a:lnRef>
                        <a:fillRef idx="1">
                          <a:schemeClr val="lt1"/>
                        </a:fillRef>
                        <a:effectRef idx="0">
                          <a:schemeClr val="accent1"/>
                        </a:effectRef>
                        <a:fontRef idx="minor">
                          <a:schemeClr val="dk1"/>
                        </a:fontRef>
                      </wps:style>
                      <wps:txbx>
                        <w:txbxContent>
                          <w:p w14:paraId="22B0FC68" w14:textId="77777777" w:rsidR="00A03A05" w:rsidRDefault="00A03A05" w:rsidP="003F4A8C"/>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vron 41" o:spid="_x0000_s1054" type="#_x0000_t55" style="position:absolute;margin-left:90.1pt;margin-top:10pt;width:280.85pt;height:450.9pt;rotation:90;z-index:-25063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" adj="20222" fillcolor="white [3201]" strokecolor="#e36c0a [2409]" strokeweight="3pt">
                <v:textbox style="layout-flow:vertical;mso-layout-flow-alt:bottom-to-top">
                  <w:txbxContent>
                    <w:p w14:paraId="22B0FC68" w14:textId="77777777" w:rsidR="00A03A05" w:rsidRDefault="00A03A05" w:rsidP="003F4A8C"/>
                  </w:txbxContent>
                </v:textbox>
              </v:shape>
            </w:pict>
          </mc:Fallback>
        </mc:AlternateContent>
      </w:r>
      <w:r w:rsidR="003F4A8C">
        <w:rPr>
          <w:noProof/>
          <w:lang w:eastAsia="en-AU"/>
        </w:rPr>
        <mc:AlternateContent>
          <mc:Choice Requires="wps">
            <w:drawing>
              <wp:anchor distT="0" distB="0" distL="114300" distR="114300" simplePos="0" relativeHeight="252670976" behindDoc="1" locked="0" layoutInCell="1" allowOverlap="1" wp14:anchorId="62B9F220" wp14:editId="014EC073">
                <wp:simplePos x="0" y="0"/>
                <wp:positionH relativeFrom="margin">
                  <wp:posOffset>-8626</wp:posOffset>
                </wp:positionH>
                <wp:positionV relativeFrom="paragraph">
                  <wp:posOffset>70556</wp:posOffset>
                </wp:positionV>
                <wp:extent cx="5878830" cy="7427343"/>
                <wp:effectExtent l="0" t="0" r="26670" b="21590"/>
                <wp:wrapNone/>
                <wp:docPr id="340" name="Rectangle 340"/>
                <wp:cNvGraphicFramePr/>
                <a:graphic xmlns:a="http://schemas.openxmlformats.org/drawingml/2006/main">
                  <a:graphicData uri="http://schemas.microsoft.com/office/word/2010/wordprocessingShape">
                    <wps:wsp>
                      <wps:cNvSpPr/>
                      <wps:spPr>
                        <a:xfrm>
                          <a:off x="0" y="0"/>
                          <a:ext cx="5878830" cy="7427343"/>
                        </a:xfrm>
                        <a:prstGeom prst="rect">
                          <a:avLst/>
                        </a:prstGeom>
                        <a:no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40" o:spid="_x0000_s1026" style="position:absolute;margin-left:-.7pt;margin-top:5.55pt;width:462.9pt;height:584.85pt;z-index:-25064550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" filled="f" strokecolor="#002060" strokeweight="2pt">
                <w10:wrap anchorx="margin"/>
              </v:rect>
            </w:pict>
          </mc:Fallback>
        </mc:AlternateContent>
      </w:r>
    </w:p>
    <w:p w14:paraId="07F50907" w14:textId="44B69A63" w:rsidR="00837CCE" w:rsidRDefault="00EE6CD7" w:rsidP="0040621A">
      <w:r w:rsidRPr="003F4A8C">
        <w:rPr>
          <w:rFonts w:eastAsiaTheme="majorEastAsia" w:cstheme="majorBidi"/>
          <w:b/>
          <w:bCs/>
          <w:iCs/>
          <w:noProof/>
          <w:color w:val="365F91" w:themeColor="accent1" w:themeShade="BF"/>
          <w:lang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677120" behindDoc="0" locked="0" layoutInCell="1" allowOverlap="1" wp14:anchorId="75212064" wp14:editId="7CC5447D">
                <wp:simplePos x="0" y="0"/>
                <wp:positionH relativeFrom="column">
                  <wp:posOffset>61595</wp:posOffset>
                </wp:positionH>
                <wp:positionV relativeFrom="paragraph">
                  <wp:posOffset>1802980</wp:posOffset>
                </wp:positionV>
                <wp:extent cx="2797810" cy="2692400"/>
                <wp:effectExtent l="0" t="0" r="0" b="0"/>
                <wp:wrapNone/>
                <wp:docPr id="3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7810" cy="2692400"/>
                        </a:xfrm>
                        <a:prstGeom prst="rect">
                          <a:avLst/>
                        </a:prstGeom>
                        <a:noFill/>
                        <a:ln w="9525">
                          <a:noFill/>
                          <a:miter lim="800000"/>
                          <a:headEnd/>
                          <a:tailEnd/>
                        </a:ln>
                      </wps:spPr>
                      <wps:txbx>
                        <w:txbxContent>
                          <w:p w14:paraId="4F7C2709" w14:textId="77777777" w:rsidR="00A03A05" w:rsidRPr="003A0238" w:rsidRDefault="00A03A05" w:rsidP="003F4A8C">
                            <w:pPr>
                              <w:pStyle w:val="Basicbodytext-BlackBasicbodytext-Black"/>
                              <w:spacing w:before="0" w:line="240" w:lineRule="auto"/>
                              <w:rPr>
                                <w:color w:val="044C75"/>
                                <w:spacing w:val="-4"/>
                              </w:rPr>
                            </w:pPr>
                            <w:r w:rsidRPr="003A0238">
                              <w:rPr>
                                <w:color w:val="044C75"/>
                                <w:spacing w:val="-4"/>
                              </w:rPr>
                              <w:t xml:space="preserve">Complaints are assessed to ensure: </w:t>
                            </w:r>
                            <w:r w:rsidRPr="003A0238">
                              <w:rPr>
                                <w:color w:val="044C75"/>
                                <w:spacing w:val="-4"/>
                              </w:rPr>
                              <w:br/>
                            </w:r>
                          </w:p>
                          <w:p w14:paraId="68F25471" w14:textId="77777777" w:rsidR="00A03A05" w:rsidRPr="003A0238" w:rsidRDefault="00A03A05" w:rsidP="000B6A67">
                            <w:pPr>
                              <w:pStyle w:val="Basicbodytext-BlackBasicbodytext-Black"/>
                              <w:numPr>
                                <w:ilvl w:val="0"/>
                                <w:numId w:val="49"/>
                              </w:numPr>
                              <w:spacing w:before="0" w:line="240" w:lineRule="auto"/>
                              <w:ind w:left="284" w:right="222" w:hanging="284"/>
                              <w:rPr>
                                <w:color w:val="044C75"/>
                                <w:spacing w:val="-4"/>
                              </w:rPr>
                            </w:pPr>
                            <w:r w:rsidRPr="003A0238">
                              <w:rPr>
                                <w:color w:val="044C75"/>
                                <w:spacing w:val="-4"/>
                              </w:rPr>
                              <w:t>The complaint relates to the provision of a health, disability or mental health service delivered in Western Australia, or the Indian Ocean Territories.</w:t>
                            </w:r>
                          </w:p>
                          <w:p w14:paraId="339E5A87" w14:textId="77777777" w:rsidR="00A03A05" w:rsidRPr="003A0238" w:rsidRDefault="00A03A05" w:rsidP="005977B4">
                            <w:pPr>
                              <w:pStyle w:val="Basicbodytext-BlackBasicbodytext-Black"/>
                              <w:spacing w:before="0" w:line="240" w:lineRule="auto"/>
                              <w:ind w:left="284" w:right="222" w:hanging="284"/>
                              <w:rPr>
                                <w:color w:val="044C75"/>
                                <w:spacing w:val="-4"/>
                              </w:rPr>
                            </w:pPr>
                          </w:p>
                          <w:p w14:paraId="5D03C0F6" w14:textId="5AC204E3" w:rsidR="00A03A05" w:rsidRPr="003A0238" w:rsidRDefault="00A03A05" w:rsidP="000B6A67">
                            <w:pPr>
                              <w:pStyle w:val="Basicbodytext-BlackBasicbodytext-Black"/>
                              <w:numPr>
                                <w:ilvl w:val="0"/>
                                <w:numId w:val="49"/>
                              </w:numPr>
                              <w:spacing w:before="0" w:line="240" w:lineRule="auto"/>
                              <w:ind w:left="284" w:right="222" w:hanging="284"/>
                              <w:rPr>
                                <w:color w:val="044C75"/>
                                <w:spacing w:val="-4"/>
                              </w:rPr>
                            </w:pPr>
                            <w:r w:rsidRPr="003A0238">
                              <w:rPr>
                                <w:color w:val="044C75"/>
                                <w:spacing w:val="-4"/>
                              </w:rPr>
                              <w:t>The individual, or their representative if required, provide</w:t>
                            </w:r>
                            <w:r>
                              <w:rPr>
                                <w:color w:val="044C75"/>
                                <w:spacing w:val="-4"/>
                              </w:rPr>
                              <w:t>s</w:t>
                            </w:r>
                            <w:r w:rsidRPr="003A0238">
                              <w:rPr>
                                <w:color w:val="044C75"/>
                                <w:spacing w:val="-4"/>
                              </w:rPr>
                              <w:t xml:space="preserve"> written authorisations. </w:t>
                            </w:r>
                          </w:p>
                          <w:p w14:paraId="740E87FD" w14:textId="77777777" w:rsidR="00A03A05" w:rsidRPr="003A0238" w:rsidRDefault="00A03A05" w:rsidP="005977B4">
                            <w:pPr>
                              <w:pStyle w:val="ListParagraph"/>
                              <w:ind w:left="284" w:right="222" w:hanging="284"/>
                              <w:rPr>
                                <w:color w:val="044C75"/>
                                <w:spacing w:val="-4"/>
                                <w:sz w:val="20"/>
                                <w:szCs w:val="20"/>
                              </w:rPr>
                            </w:pPr>
                          </w:p>
                          <w:p w14:paraId="6C83E0F4" w14:textId="77777777" w:rsidR="00A03A05" w:rsidRPr="003A0238" w:rsidRDefault="00A03A05" w:rsidP="000B6A67">
                            <w:pPr>
                              <w:pStyle w:val="Basicbodytext-BlackBasicbodytext-Black"/>
                              <w:numPr>
                                <w:ilvl w:val="0"/>
                                <w:numId w:val="49"/>
                              </w:numPr>
                              <w:spacing w:before="0" w:line="240" w:lineRule="auto"/>
                              <w:ind w:left="284" w:right="222" w:hanging="284"/>
                              <w:rPr>
                                <w:color w:val="044C75"/>
                                <w:spacing w:val="-4"/>
                              </w:rPr>
                            </w:pPr>
                            <w:r w:rsidRPr="003A0238">
                              <w:rPr>
                                <w:color w:val="044C75"/>
                                <w:spacing w:val="-4"/>
                              </w:rPr>
                              <w:t>The complaint relates to an incident that occurred within the last two years.</w:t>
                            </w:r>
                          </w:p>
                          <w:p w14:paraId="1A59EE00" w14:textId="77777777" w:rsidR="00A03A05" w:rsidRPr="003A0238" w:rsidRDefault="00A03A05" w:rsidP="005977B4">
                            <w:pPr>
                              <w:pStyle w:val="Basicbodytext-BlackBasicbodytext-Black"/>
                              <w:spacing w:before="0" w:line="240" w:lineRule="auto"/>
                              <w:ind w:left="284" w:right="222" w:hanging="284"/>
                              <w:rPr>
                                <w:color w:val="044C75"/>
                                <w:spacing w:val="-4"/>
                              </w:rPr>
                            </w:pPr>
                          </w:p>
                          <w:p w14:paraId="070C2522" w14:textId="77777777" w:rsidR="00A03A05" w:rsidRPr="003A0238" w:rsidRDefault="00A03A05" w:rsidP="000B6A67">
                            <w:pPr>
                              <w:pStyle w:val="Basicbodytext-BlackBasicbodytext-Black"/>
                              <w:numPr>
                                <w:ilvl w:val="0"/>
                                <w:numId w:val="49"/>
                              </w:numPr>
                              <w:spacing w:before="0" w:line="240" w:lineRule="auto"/>
                              <w:ind w:left="284" w:right="222" w:hanging="284"/>
                              <w:rPr>
                                <w:color w:val="044C75"/>
                                <w:spacing w:val="-4"/>
                              </w:rPr>
                            </w:pPr>
                            <w:r w:rsidRPr="003A0238">
                              <w:rPr>
                                <w:color w:val="044C75"/>
                                <w:spacing w:val="-4"/>
                              </w:rPr>
                              <w:t>The individual, or their representative, has attempted to resolve the complaint with the service provider in the first instance.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5" type="#_x0000_t202" style="position:absolute;margin-left:4.85pt;margin-top:141.95pt;width:220.3pt;height:212pt;z-index:25267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" filled="f" stroked="f">
                <v:textbox>
                  <w:txbxContent>
                    <w:p w14:paraId="4F7C2709" w14:textId="77777777" w:rsidR="00A03A05" w:rsidRPr="003A0238" w:rsidRDefault="00A03A05" w:rsidP="003F4A8C">
                      <w:pPr>
                        <w:pStyle w:val="Basicbodytext-BlackBasicbodytext-Black"/>
                        <w:spacing w:before="0" w:line="240" w:lineRule="auto"/>
                        <w:rPr>
                          <w:color w:val="044C75"/>
                          <w:spacing w:val="-4"/>
                        </w:rPr>
                      </w:pPr>
                      <w:r w:rsidRPr="003A0238">
                        <w:rPr>
                          <w:color w:val="044C75"/>
                          <w:spacing w:val="-4"/>
                        </w:rPr>
                        <w:t xml:space="preserve">Complaints are assessed to ensure: </w:t>
                      </w:r>
                      <w:r w:rsidRPr="003A0238">
                        <w:rPr>
                          <w:color w:val="044C75"/>
                          <w:spacing w:val="-4"/>
                        </w:rPr>
                        <w:br/>
                      </w:r>
                    </w:p>
                    <w:p w14:paraId="68F25471" w14:textId="77777777" w:rsidR="00A03A05" w:rsidRPr="003A0238" w:rsidRDefault="00A03A05" w:rsidP="000B6A67">
                      <w:pPr>
                        <w:pStyle w:val="Basicbodytext-BlackBasicbodytext-Black"/>
                        <w:numPr>
                          <w:ilvl w:val="0"/>
                          <w:numId w:val="49"/>
                        </w:numPr>
                        <w:spacing w:before="0" w:line="240" w:lineRule="auto"/>
                        <w:ind w:left="284" w:right="222" w:hanging="284"/>
                        <w:rPr>
                          <w:color w:val="044C75"/>
                          <w:spacing w:val="-4"/>
                        </w:rPr>
                      </w:pPr>
                      <w:r w:rsidRPr="003A0238">
                        <w:rPr>
                          <w:color w:val="044C75"/>
                          <w:spacing w:val="-4"/>
                        </w:rPr>
                        <w:t>The complaint relates to the provision of a health, disability or mental health service delivered in Western Australia, or the Indian Ocean Territories.</w:t>
                      </w:r>
                    </w:p>
                    <w:p w14:paraId="339E5A87" w14:textId="77777777" w:rsidR="00A03A05" w:rsidRPr="003A0238" w:rsidRDefault="00A03A05" w:rsidP="005977B4">
                      <w:pPr>
                        <w:pStyle w:val="Basicbodytext-BlackBasicbodytext-Black"/>
                        <w:spacing w:before="0" w:line="240" w:lineRule="auto"/>
                        <w:ind w:left="284" w:right="222" w:hanging="284"/>
                        <w:rPr>
                          <w:color w:val="044C75"/>
                          <w:spacing w:val="-4"/>
                        </w:rPr>
                      </w:pPr>
                    </w:p>
                    <w:p w14:paraId="5D03C0F6" w14:textId="5AC204E3" w:rsidR="00A03A05" w:rsidRPr="003A0238" w:rsidRDefault="00A03A05" w:rsidP="000B6A67">
                      <w:pPr>
                        <w:pStyle w:val="Basicbodytext-BlackBasicbodytext-Black"/>
                        <w:numPr>
                          <w:ilvl w:val="0"/>
                          <w:numId w:val="49"/>
                        </w:numPr>
                        <w:spacing w:before="0" w:line="240" w:lineRule="auto"/>
                        <w:ind w:left="284" w:right="222" w:hanging="284"/>
                        <w:rPr>
                          <w:color w:val="044C75"/>
                          <w:spacing w:val="-4"/>
                        </w:rPr>
                      </w:pPr>
                      <w:r w:rsidRPr="003A0238">
                        <w:rPr>
                          <w:color w:val="044C75"/>
                          <w:spacing w:val="-4"/>
                        </w:rPr>
                        <w:t>The individual, or their representative if required, provide</w:t>
                      </w:r>
                      <w:r>
                        <w:rPr>
                          <w:color w:val="044C75"/>
                          <w:spacing w:val="-4"/>
                        </w:rPr>
                        <w:t>s</w:t>
                      </w:r>
                      <w:r w:rsidRPr="003A0238">
                        <w:rPr>
                          <w:color w:val="044C75"/>
                          <w:spacing w:val="-4"/>
                        </w:rPr>
                        <w:t xml:space="preserve"> written authorisations. </w:t>
                      </w:r>
                    </w:p>
                    <w:p w14:paraId="740E87FD" w14:textId="77777777" w:rsidR="00A03A05" w:rsidRPr="003A0238" w:rsidRDefault="00A03A05" w:rsidP="005977B4">
                      <w:pPr>
                        <w:pStyle w:val="ListParagraph"/>
                        <w:ind w:left="284" w:right="222" w:hanging="284"/>
                        <w:rPr>
                          <w:color w:val="044C75"/>
                          <w:spacing w:val="-4"/>
                          <w:sz w:val="20"/>
                          <w:szCs w:val="20"/>
                        </w:rPr>
                      </w:pPr>
                    </w:p>
                    <w:p w14:paraId="6C83E0F4" w14:textId="77777777" w:rsidR="00A03A05" w:rsidRPr="003A0238" w:rsidRDefault="00A03A05" w:rsidP="000B6A67">
                      <w:pPr>
                        <w:pStyle w:val="Basicbodytext-BlackBasicbodytext-Black"/>
                        <w:numPr>
                          <w:ilvl w:val="0"/>
                          <w:numId w:val="49"/>
                        </w:numPr>
                        <w:spacing w:before="0" w:line="240" w:lineRule="auto"/>
                        <w:ind w:left="284" w:right="222" w:hanging="284"/>
                        <w:rPr>
                          <w:color w:val="044C75"/>
                          <w:spacing w:val="-4"/>
                        </w:rPr>
                      </w:pPr>
                      <w:r w:rsidRPr="003A0238">
                        <w:rPr>
                          <w:color w:val="044C75"/>
                          <w:spacing w:val="-4"/>
                        </w:rPr>
                        <w:t>The complaint relates to an incident that occurred within the last two years.</w:t>
                      </w:r>
                    </w:p>
                    <w:p w14:paraId="1A59EE00" w14:textId="77777777" w:rsidR="00A03A05" w:rsidRPr="003A0238" w:rsidRDefault="00A03A05" w:rsidP="005977B4">
                      <w:pPr>
                        <w:pStyle w:val="Basicbodytext-BlackBasicbodytext-Black"/>
                        <w:spacing w:before="0" w:line="240" w:lineRule="auto"/>
                        <w:ind w:left="284" w:right="222" w:hanging="284"/>
                        <w:rPr>
                          <w:color w:val="044C75"/>
                          <w:spacing w:val="-4"/>
                        </w:rPr>
                      </w:pPr>
                    </w:p>
                    <w:p w14:paraId="070C2522" w14:textId="77777777" w:rsidR="00A03A05" w:rsidRPr="003A0238" w:rsidRDefault="00A03A05" w:rsidP="000B6A67">
                      <w:pPr>
                        <w:pStyle w:val="Basicbodytext-BlackBasicbodytext-Black"/>
                        <w:numPr>
                          <w:ilvl w:val="0"/>
                          <w:numId w:val="49"/>
                        </w:numPr>
                        <w:spacing w:before="0" w:line="240" w:lineRule="auto"/>
                        <w:ind w:left="284" w:right="222" w:hanging="284"/>
                        <w:rPr>
                          <w:color w:val="044C75"/>
                          <w:spacing w:val="-4"/>
                        </w:rPr>
                      </w:pPr>
                      <w:r w:rsidRPr="003A0238">
                        <w:rPr>
                          <w:color w:val="044C75"/>
                          <w:spacing w:val="-4"/>
                        </w:rPr>
                        <w:t>The individual, or their representative, has attempted to resolve the complaint with the service provider in the first instance.</w:t>
                      </w:r>
                    </w:p>
                  </w:txbxContent>
                </v:textbox>
              </v:shape>
            </w:pict>
          </mc:Fallback>
        </mc:AlternateContent>
      </w:r>
      <w:r w:rsidR="005977B4" w:rsidRPr="003F4A8C">
        <w:rPr>
          <w:rFonts w:eastAsiaTheme="majorEastAsia" w:cstheme="majorBidi"/>
          <w:b/>
          <w:bCs/>
          <w:iCs/>
          <w:noProof/>
          <w:color w:val="365F91" w:themeColor="accent1" w:themeShade="BF"/>
          <w:lang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678144" behindDoc="0" locked="0" layoutInCell="1" allowOverlap="1" wp14:anchorId="670B2283" wp14:editId="2C4D94EB">
                <wp:simplePos x="0" y="0"/>
                <wp:positionH relativeFrom="column">
                  <wp:posOffset>2811780</wp:posOffset>
                </wp:positionH>
                <wp:positionV relativeFrom="paragraph">
                  <wp:posOffset>2067560</wp:posOffset>
                </wp:positionV>
                <wp:extent cx="2941955" cy="2390140"/>
                <wp:effectExtent l="0" t="0" r="0" b="0"/>
                <wp:wrapNone/>
                <wp:docPr id="3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1955" cy="2390140"/>
                        </a:xfrm>
                        <a:prstGeom prst="rect">
                          <a:avLst/>
                        </a:prstGeom>
                        <a:noFill/>
                        <a:ln w="9525">
                          <a:noFill/>
                          <a:miter lim="800000"/>
                          <a:headEnd/>
                          <a:tailEnd/>
                        </a:ln>
                      </wps:spPr>
                      <wps:txbx>
                        <w:txbxContent>
                          <w:p w14:paraId="77F9467D" w14:textId="77777777" w:rsidR="00A03A05" w:rsidRPr="003A0238" w:rsidRDefault="00A03A05" w:rsidP="000B6A67">
                            <w:pPr>
                              <w:pStyle w:val="Basicbodytext-BlackBasicbodytext-Black"/>
                              <w:numPr>
                                <w:ilvl w:val="0"/>
                                <w:numId w:val="46"/>
                              </w:numPr>
                              <w:spacing w:before="0" w:line="240" w:lineRule="auto"/>
                              <w:ind w:left="284" w:hanging="284"/>
                              <w:rPr>
                                <w:color w:val="044C75"/>
                                <w:spacing w:val="-4"/>
                              </w:rPr>
                            </w:pPr>
                            <w:r w:rsidRPr="003A0238">
                              <w:rPr>
                                <w:color w:val="044C75"/>
                                <w:spacing w:val="-4"/>
                              </w:rPr>
                              <w:t xml:space="preserve">A complaint can only be accepted if it is within HaDSCO’s jurisdiction. </w:t>
                            </w:r>
                          </w:p>
                          <w:p w14:paraId="31123201" w14:textId="77777777" w:rsidR="00A03A05" w:rsidRPr="003A0238" w:rsidRDefault="00A03A05" w:rsidP="005977B4">
                            <w:pPr>
                              <w:pStyle w:val="Basicbodytext-BlackBasicbodytext-Black"/>
                              <w:spacing w:before="0" w:line="240" w:lineRule="auto"/>
                              <w:ind w:left="284" w:hanging="284"/>
                              <w:rPr>
                                <w:color w:val="044C75"/>
                                <w:spacing w:val="-4"/>
                              </w:rPr>
                            </w:pPr>
                          </w:p>
                          <w:p w14:paraId="22152F4D" w14:textId="77777777" w:rsidR="00A03A05" w:rsidRPr="003A0238" w:rsidRDefault="00A03A05" w:rsidP="000B6A67">
                            <w:pPr>
                              <w:pStyle w:val="Basicbodytext-BlackBasicbodytext-Black"/>
                              <w:numPr>
                                <w:ilvl w:val="0"/>
                                <w:numId w:val="46"/>
                              </w:numPr>
                              <w:spacing w:before="0" w:line="240" w:lineRule="auto"/>
                              <w:ind w:left="284" w:hanging="284"/>
                              <w:rPr>
                                <w:color w:val="044C75"/>
                                <w:spacing w:val="-4"/>
                              </w:rPr>
                            </w:pPr>
                            <w:r w:rsidRPr="003A0238">
                              <w:rPr>
                                <w:color w:val="044C75"/>
                                <w:spacing w:val="-4"/>
                              </w:rPr>
                              <w:t xml:space="preserve">HaDSCO is required by law to consult with the Australian Health Practitioner Regulation Agency (AHPRA) about complaints relating to registered health professionals to determine which agency is more appropriate to manage all, or part of the complaint. </w:t>
                            </w:r>
                            <w:r w:rsidRPr="003A0238">
                              <w:rPr>
                                <w:color w:val="044C75"/>
                                <w:spacing w:val="-4"/>
                              </w:rPr>
                              <w:br/>
                            </w:r>
                          </w:p>
                          <w:p w14:paraId="21C455C5" w14:textId="77777777" w:rsidR="00A03A05" w:rsidRPr="00961A02" w:rsidRDefault="00A03A05" w:rsidP="000B6A67">
                            <w:pPr>
                              <w:pStyle w:val="Basicbodytext-BlackBasicbodytext-Black"/>
                              <w:numPr>
                                <w:ilvl w:val="0"/>
                                <w:numId w:val="46"/>
                              </w:numPr>
                              <w:spacing w:before="0" w:line="240" w:lineRule="auto"/>
                              <w:ind w:left="284" w:hanging="284"/>
                              <w:rPr>
                                <w:color w:val="044C75"/>
                                <w:spacing w:val="-4"/>
                              </w:rPr>
                            </w:pPr>
                            <w:r w:rsidRPr="003A0238">
                              <w:rPr>
                                <w:color w:val="044C75"/>
                                <w:spacing w:val="-4"/>
                              </w:rPr>
                              <w:t xml:space="preserve">At the end of the assessment process we may </w:t>
                            </w:r>
                            <w:r w:rsidRPr="00961A02">
                              <w:rPr>
                                <w:color w:val="044C75"/>
                                <w:spacing w:val="-4"/>
                              </w:rPr>
                              <w:t>accept</w:t>
                            </w:r>
                            <w:r w:rsidRPr="003A0238">
                              <w:rPr>
                                <w:color w:val="044C75"/>
                                <w:spacing w:val="-4"/>
                              </w:rPr>
                              <w:t xml:space="preserve">, </w:t>
                            </w:r>
                            <w:r w:rsidRPr="00961A02">
                              <w:rPr>
                                <w:color w:val="044C75"/>
                                <w:spacing w:val="-4"/>
                              </w:rPr>
                              <w:t>reject</w:t>
                            </w:r>
                            <w:r w:rsidRPr="003A0238">
                              <w:rPr>
                                <w:color w:val="044C75"/>
                                <w:spacing w:val="-4"/>
                              </w:rPr>
                              <w:t xml:space="preserve"> or </w:t>
                            </w:r>
                            <w:r w:rsidRPr="00961A02">
                              <w:rPr>
                                <w:color w:val="044C75"/>
                                <w:spacing w:val="-4"/>
                              </w:rPr>
                              <w:t>refer</w:t>
                            </w:r>
                            <w:r w:rsidRPr="003A0238">
                              <w:rPr>
                                <w:color w:val="044C75"/>
                                <w:spacing w:val="-4"/>
                              </w:rPr>
                              <w:t xml:space="preserve"> a complaint to a more appropriate agency. If we cannot accept the complaint we provide information about other complaint resolution options. </w:t>
                            </w:r>
                          </w:p>
                          <w:p w14:paraId="041B3445" w14:textId="77777777" w:rsidR="00A03A05" w:rsidRPr="00BC1B00" w:rsidRDefault="00A03A05" w:rsidP="003F4A8C">
                            <w:pPr>
                              <w:rPr>
                                <w:color w:val="1168A9"/>
                                <w:sz w:val="21"/>
                                <w:szCs w:val="2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6" type="#_x0000_t202" style="position:absolute;margin-left:221.4pt;margin-top:162.8pt;width:231.65pt;height:188.2pt;z-index:25267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" filled="f" stroked="f">
                <v:textbox>
                  <w:txbxContent>
                    <w:p w14:paraId="77F9467D" w14:textId="77777777" w:rsidR="00A03A05" w:rsidRPr="003A0238" w:rsidRDefault="00A03A05" w:rsidP="000B6A67">
                      <w:pPr>
                        <w:pStyle w:val="Basicbodytext-BlackBasicbodytext-Black"/>
                        <w:numPr>
                          <w:ilvl w:val="0"/>
                          <w:numId w:val="46"/>
                        </w:numPr>
                        <w:spacing w:before="0" w:line="240" w:lineRule="auto"/>
                        <w:ind w:left="284" w:hanging="284"/>
                        <w:rPr>
                          <w:color w:val="044C75"/>
                          <w:spacing w:val="-4"/>
                        </w:rPr>
                      </w:pPr>
                      <w:r w:rsidRPr="003A0238">
                        <w:rPr>
                          <w:color w:val="044C75"/>
                          <w:spacing w:val="-4"/>
                        </w:rPr>
                        <w:t xml:space="preserve">A complaint can only be accepted if it is within HaDSCO’s jurisdiction. </w:t>
                      </w:r>
                    </w:p>
                    <w:p w14:paraId="31123201" w14:textId="77777777" w:rsidR="00A03A05" w:rsidRPr="003A0238" w:rsidRDefault="00A03A05" w:rsidP="005977B4">
                      <w:pPr>
                        <w:pStyle w:val="Basicbodytext-BlackBasicbodytext-Black"/>
                        <w:spacing w:before="0" w:line="240" w:lineRule="auto"/>
                        <w:ind w:left="284" w:hanging="284"/>
                        <w:rPr>
                          <w:color w:val="044C75"/>
                          <w:spacing w:val="-4"/>
                        </w:rPr>
                      </w:pPr>
                    </w:p>
                    <w:p w14:paraId="22152F4D" w14:textId="77777777" w:rsidR="00A03A05" w:rsidRPr="003A0238" w:rsidRDefault="00A03A05" w:rsidP="000B6A67">
                      <w:pPr>
                        <w:pStyle w:val="Basicbodytext-BlackBasicbodytext-Black"/>
                        <w:numPr>
                          <w:ilvl w:val="0"/>
                          <w:numId w:val="46"/>
                        </w:numPr>
                        <w:spacing w:before="0" w:line="240" w:lineRule="auto"/>
                        <w:ind w:left="284" w:hanging="284"/>
                        <w:rPr>
                          <w:color w:val="044C75"/>
                          <w:spacing w:val="-4"/>
                        </w:rPr>
                      </w:pPr>
                      <w:r w:rsidRPr="003A0238">
                        <w:rPr>
                          <w:color w:val="044C75"/>
                          <w:spacing w:val="-4"/>
                        </w:rPr>
                        <w:t xml:space="preserve">HaDSCO is required by law to consult with the Australian Health Practitioner Regulation Agency (AHPRA) about complaints relating to registered health professionals to determine which agency is more appropriate to manage all, or part of the complaint. </w:t>
                      </w:r>
                      <w:r w:rsidRPr="003A0238">
                        <w:rPr>
                          <w:color w:val="044C75"/>
                          <w:spacing w:val="-4"/>
                        </w:rPr>
                        <w:br/>
                      </w:r>
                    </w:p>
                    <w:p w14:paraId="21C455C5" w14:textId="77777777" w:rsidR="00A03A05" w:rsidRPr="00961A02" w:rsidRDefault="00A03A05" w:rsidP="000B6A67">
                      <w:pPr>
                        <w:pStyle w:val="Basicbodytext-BlackBasicbodytext-Black"/>
                        <w:numPr>
                          <w:ilvl w:val="0"/>
                          <w:numId w:val="46"/>
                        </w:numPr>
                        <w:spacing w:before="0" w:line="240" w:lineRule="auto"/>
                        <w:ind w:left="284" w:hanging="284"/>
                        <w:rPr>
                          <w:color w:val="044C75"/>
                          <w:spacing w:val="-4"/>
                        </w:rPr>
                      </w:pPr>
                      <w:r w:rsidRPr="003A0238">
                        <w:rPr>
                          <w:color w:val="044C75"/>
                          <w:spacing w:val="-4"/>
                        </w:rPr>
                        <w:t xml:space="preserve">At the end of the assessment process we may </w:t>
                      </w:r>
                      <w:r w:rsidRPr="00961A02">
                        <w:rPr>
                          <w:color w:val="044C75"/>
                          <w:spacing w:val="-4"/>
                        </w:rPr>
                        <w:t>accept</w:t>
                      </w:r>
                      <w:r w:rsidRPr="003A0238">
                        <w:rPr>
                          <w:color w:val="044C75"/>
                          <w:spacing w:val="-4"/>
                        </w:rPr>
                        <w:t xml:space="preserve">, </w:t>
                      </w:r>
                      <w:r w:rsidRPr="00961A02">
                        <w:rPr>
                          <w:color w:val="044C75"/>
                          <w:spacing w:val="-4"/>
                        </w:rPr>
                        <w:t>reject</w:t>
                      </w:r>
                      <w:r w:rsidRPr="003A0238">
                        <w:rPr>
                          <w:color w:val="044C75"/>
                          <w:spacing w:val="-4"/>
                        </w:rPr>
                        <w:t xml:space="preserve"> or </w:t>
                      </w:r>
                      <w:r w:rsidRPr="00961A02">
                        <w:rPr>
                          <w:color w:val="044C75"/>
                          <w:spacing w:val="-4"/>
                        </w:rPr>
                        <w:t>refer</w:t>
                      </w:r>
                      <w:r w:rsidRPr="003A0238">
                        <w:rPr>
                          <w:color w:val="044C75"/>
                          <w:spacing w:val="-4"/>
                        </w:rPr>
                        <w:t xml:space="preserve"> a complaint to a more appropriate agency. If we cannot accept the complaint we provide information about other complaint resolution options. </w:t>
                      </w:r>
                    </w:p>
                    <w:p w14:paraId="041B3445" w14:textId="77777777" w:rsidR="00A03A05" w:rsidRPr="00BC1B00" w:rsidRDefault="00A03A05" w:rsidP="003F4A8C">
                      <w:pPr>
                        <w:rPr>
                          <w:color w:val="1168A9"/>
                          <w:sz w:val="21"/>
                          <w:szCs w:val="21"/>
                        </w:rPr>
                      </w:pPr>
                    </w:p>
                  </w:txbxContent>
                </v:textbox>
              </v:shape>
            </w:pict>
          </mc:Fallback>
        </mc:AlternateContent>
      </w:r>
      <w:r w:rsidR="00CF7826" w:rsidRPr="003F4A8C">
        <w:rPr>
          <w:rFonts w:eastAsiaTheme="majorEastAsia" w:cstheme="majorBidi"/>
          <w:b/>
          <w:bCs/>
          <w:iCs/>
          <w:noProof/>
          <w:color w:val="365F91" w:themeColor="accent1" w:themeShade="BF"/>
          <w:lang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675072" behindDoc="0" locked="0" layoutInCell="1" allowOverlap="1" wp14:anchorId="1473FCC9" wp14:editId="5EBCA9F5">
                <wp:simplePos x="0" y="0"/>
                <wp:positionH relativeFrom="column">
                  <wp:posOffset>1946275</wp:posOffset>
                </wp:positionH>
                <wp:positionV relativeFrom="paragraph">
                  <wp:posOffset>1223645</wp:posOffset>
                </wp:positionV>
                <wp:extent cx="1828800" cy="1403985"/>
                <wp:effectExtent l="0" t="0" r="0" b="0"/>
                <wp:wrapNone/>
                <wp:docPr id="1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403985"/>
                        </a:xfrm>
                        <a:prstGeom prst="rect">
                          <a:avLst/>
                        </a:prstGeom>
                        <a:noFill/>
                        <a:ln w="9525">
                          <a:noFill/>
                          <a:miter lim="800000"/>
                          <a:headEnd/>
                          <a:tailEnd/>
                        </a:ln>
                      </wps:spPr>
                      <wps:txbx>
                        <w:txbxContent>
                          <w:p w14:paraId="585018CC" w14:textId="77777777" w:rsidR="00A03A05" w:rsidRPr="00DF15EB" w:rsidRDefault="00A03A05" w:rsidP="003F4A8C">
                            <w:pPr>
                              <w:jc w:val="center"/>
                              <w:rPr>
                                <w:rFonts w:eastAsiaTheme="minorHAnsi"/>
                                <w:b/>
                                <w:color w:val="1168A9"/>
                                <w:spacing w:val="-4"/>
                                <w:sz w:val="28"/>
                                <w:szCs w:val="28"/>
                                <w:lang w:val="en-GB"/>
                              </w:rPr>
                            </w:pPr>
                            <w:r w:rsidRPr="003A0238">
                              <w:rPr>
                                <w:rFonts w:eastAsiaTheme="minorHAnsi"/>
                                <w:b/>
                                <w:color w:val="002060"/>
                                <w:spacing w:val="-4"/>
                                <w:sz w:val="28"/>
                                <w:szCs w:val="28"/>
                                <w:lang w:val="en-GB"/>
                              </w:rPr>
                              <w:t>Assessment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7" type="#_x0000_t202" style="position:absolute;margin-left:153.25pt;margin-top:96.35pt;width:2in;height:110.55pt;z-index:2526750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" filled="f" stroked="f">
                <v:textbox style="mso-fit-shape-to-text:t">
                  <w:txbxContent>
                    <w:p w14:paraId="585018CC" w14:textId="77777777" w:rsidR="00A03A05" w:rsidRPr="00DF15EB" w:rsidRDefault="00A03A05" w:rsidP="003F4A8C">
                      <w:pPr>
                        <w:jc w:val="center"/>
                        <w:rPr>
                          <w:rFonts w:eastAsiaTheme="minorHAnsi"/>
                          <w:b/>
                          <w:color w:val="1168A9"/>
                          <w:spacing w:val="-4"/>
                          <w:sz w:val="28"/>
                          <w:szCs w:val="28"/>
                          <w:lang w:val="en-GB"/>
                        </w:rPr>
                      </w:pPr>
                      <w:r w:rsidRPr="003A0238">
                        <w:rPr>
                          <w:rFonts w:eastAsiaTheme="minorHAnsi"/>
                          <w:b/>
                          <w:color w:val="002060"/>
                          <w:spacing w:val="-4"/>
                          <w:sz w:val="28"/>
                          <w:szCs w:val="28"/>
                          <w:lang w:val="en-GB"/>
                        </w:rPr>
                        <w:t>Assessment</w:t>
                      </w:r>
                    </w:p>
                  </w:txbxContent>
                </v:textbox>
              </v:shape>
            </w:pict>
          </mc:Fallback>
        </mc:AlternateContent>
      </w:r>
      <w:r w:rsidR="00CF7826" w:rsidRPr="003F4A8C">
        <w:rPr>
          <w:rFonts w:eastAsiaTheme="majorEastAsia" w:cstheme="majorBidi"/>
          <w:b/>
          <w:bCs/>
          <w:iCs/>
          <w:noProof/>
          <w:color w:val="365F91" w:themeColor="accent1" w:themeShade="BF"/>
          <w:lang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mc:AlternateContent>
          <mc:Choice Requires="wps">
            <w:drawing>
              <wp:anchor distT="0" distB="0" distL="114300" distR="114300" simplePos="0" relativeHeight="252676096" behindDoc="0" locked="0" layoutInCell="1" allowOverlap="1" wp14:anchorId="0BDC9E72" wp14:editId="4C7FD289">
                <wp:simplePos x="0" y="0"/>
                <wp:positionH relativeFrom="column">
                  <wp:posOffset>749300</wp:posOffset>
                </wp:positionH>
                <wp:positionV relativeFrom="paragraph">
                  <wp:posOffset>1472936</wp:posOffset>
                </wp:positionV>
                <wp:extent cx="4436110" cy="445770"/>
                <wp:effectExtent l="0" t="0" r="2540" b="0"/>
                <wp:wrapNone/>
                <wp:docPr id="120" name="Text Box 120"/>
                <wp:cNvGraphicFramePr/>
                <a:graphic xmlns:a="http://schemas.openxmlformats.org/drawingml/2006/main">
                  <a:graphicData uri="http://schemas.microsoft.com/office/word/2010/wordprocessingShape">
                    <wps:wsp>
                      <wps:cNvSpPr txBox="1"/>
                      <wps:spPr>
                        <a:xfrm>
                          <a:off x="0" y="0"/>
                          <a:ext cx="4436110" cy="4457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D4382F" w14:textId="7B445D27" w:rsidR="00A03A05" w:rsidRPr="003A0238" w:rsidRDefault="00A03A05" w:rsidP="003F4A8C">
                            <w:pPr>
                              <w:jc w:val="center"/>
                              <w:rPr>
                                <w:color w:val="044C75"/>
                                <w:sz w:val="20"/>
                                <w:szCs w:val="20"/>
                              </w:rPr>
                            </w:pPr>
                            <w:r w:rsidRPr="003A0238">
                              <w:rPr>
                                <w:color w:val="044C75"/>
                                <w:spacing w:val="-4"/>
                                <w:sz w:val="20"/>
                                <w:szCs w:val="20"/>
                              </w:rPr>
                              <w:t>HaDSCO can receive ver</w:t>
                            </w:r>
                            <w:r>
                              <w:rPr>
                                <w:color w:val="044C75"/>
                                <w:spacing w:val="-4"/>
                                <w:sz w:val="20"/>
                                <w:szCs w:val="20"/>
                              </w:rPr>
                              <w:t xml:space="preserve">bal complaints but they must be </w:t>
                            </w:r>
                            <w:r w:rsidRPr="003A0238">
                              <w:rPr>
                                <w:color w:val="044C75"/>
                                <w:spacing w:val="-4"/>
                                <w:sz w:val="20"/>
                                <w:szCs w:val="20"/>
                              </w:rPr>
                              <w:t>confirmed in writing.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20" o:spid="_x0000_s1058" type="#_x0000_t202" style="position:absolute;margin-left:59pt;margin-top:116pt;width:349.3pt;height:35.1pt;z-index:252676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" fillcolor="white [3201]" stroked="f" strokeweight=".5pt">
                <v:textbox>
                  <w:txbxContent>
                    <w:p w14:paraId="13D4382F" w14:textId="7B445D27" w:rsidR="00A03A05" w:rsidRPr="003A0238" w:rsidRDefault="00A03A05" w:rsidP="003F4A8C">
                      <w:pPr>
                        <w:jc w:val="center"/>
                        <w:rPr>
                          <w:color w:val="044C75"/>
                          <w:sz w:val="20"/>
                          <w:szCs w:val="20"/>
                        </w:rPr>
                      </w:pPr>
                      <w:r w:rsidRPr="003A0238">
                        <w:rPr>
                          <w:color w:val="044C75"/>
                          <w:spacing w:val="-4"/>
                          <w:sz w:val="20"/>
                          <w:szCs w:val="20"/>
                        </w:rPr>
                        <w:t>HaDSCO can receive ver</w:t>
                      </w:r>
                      <w:r>
                        <w:rPr>
                          <w:color w:val="044C75"/>
                          <w:spacing w:val="-4"/>
                          <w:sz w:val="20"/>
                          <w:szCs w:val="20"/>
                        </w:rPr>
                        <w:t xml:space="preserve">bal complaints but they must be </w:t>
                      </w:r>
                      <w:r w:rsidRPr="003A0238">
                        <w:rPr>
                          <w:color w:val="044C75"/>
                          <w:spacing w:val="-4"/>
                          <w:sz w:val="20"/>
                          <w:szCs w:val="20"/>
                        </w:rPr>
                        <w:t>confirmed in writing.</w:t>
                      </w:r>
                    </w:p>
                  </w:txbxContent>
                </v:textbox>
              </v:shape>
            </w:pict>
          </mc:Fallback>
        </mc:AlternateContent>
      </w:r>
      <w:r w:rsidR="00CF7826" w:rsidRPr="00E8059A">
        <w:rPr>
          <w:noProof/>
          <w:lang w:eastAsia="en-AU"/>
        </w:rPr>
        <mc:AlternateContent>
          <mc:Choice Requires="wps">
            <w:drawing>
              <wp:anchor distT="0" distB="0" distL="114300" distR="114300" simplePos="0" relativeHeight="252669952" behindDoc="0" locked="0" layoutInCell="1" allowOverlap="1" wp14:anchorId="1BEDE63E" wp14:editId="2E3B66FA">
                <wp:simplePos x="0" y="0"/>
                <wp:positionH relativeFrom="margin">
                  <wp:posOffset>19685</wp:posOffset>
                </wp:positionH>
                <wp:positionV relativeFrom="paragraph">
                  <wp:posOffset>22596</wp:posOffset>
                </wp:positionV>
                <wp:extent cx="5837555" cy="892810"/>
                <wp:effectExtent l="0" t="0" r="0" b="2540"/>
                <wp:wrapNone/>
                <wp:docPr id="1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7555" cy="892810"/>
                        </a:xfrm>
                        <a:prstGeom prst="rect">
                          <a:avLst/>
                        </a:prstGeom>
                        <a:noFill/>
                        <a:ln w="9525">
                          <a:noFill/>
                          <a:miter lim="800000"/>
                          <a:headEnd/>
                          <a:tailEnd/>
                        </a:ln>
                      </wps:spPr>
                      <wps:txbx>
                        <w:txbxContent>
                          <w:p w14:paraId="5C060493" w14:textId="1D12D410" w:rsidR="00A03A05" w:rsidRPr="00C7664E" w:rsidRDefault="00A03A05" w:rsidP="003F4A8C">
                            <w:pPr>
                              <w:jc w:val="center"/>
                            </w:pPr>
                            <w:r w:rsidRPr="003A0238">
                              <w:rPr>
                                <w:b/>
                                <w:color w:val="002060"/>
                                <w:spacing w:val="-4"/>
                                <w:sz w:val="28"/>
                                <w:szCs w:val="28"/>
                              </w:rPr>
                              <w:t>Enquiry</w:t>
                            </w:r>
                            <w:r w:rsidRPr="00BC1B00">
                              <w:rPr>
                                <w:b/>
                                <w:color w:val="044C75"/>
                                <w:spacing w:val="-40"/>
                                <w:sz w:val="44"/>
                              </w:rPr>
                              <w:br/>
                            </w:r>
                            <w:r w:rsidRPr="003A0238">
                              <w:rPr>
                                <w:color w:val="044C75"/>
                                <w:spacing w:val="-4"/>
                                <w:sz w:val="20"/>
                                <w:szCs w:val="20"/>
                              </w:rPr>
                              <w:t>We provide information about HaDSCO’s complaints process and advice about raising a complaint with the service provider. If the complaint is outside HaDSCO’s jurisdiction we suggest an alternative complaint body to assist. We may also refer individuals to advocacy services for assistance.</w:t>
                            </w:r>
                            <w:r>
                              <w:rPr>
                                <w:color w:val="00658F"/>
                                <w:spacing w:val="-4"/>
                              </w:rPr>
                              <w:t xml:space="preserve"> </w:t>
                            </w:r>
                          </w:p>
                          <w:p w14:paraId="6DEA52EB" w14:textId="77777777" w:rsidR="00A03A05" w:rsidRDefault="00A03A05" w:rsidP="003F4A8C">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margin-left:1.55pt;margin-top:1.8pt;width:459.65pt;height:70.3pt;z-index:252669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" filled="f" stroked="f">
                <v:textbox>
                  <w:txbxContent>
                    <w:p w14:paraId="5C060493" w14:textId="1D12D410" w:rsidR="00A03A05" w:rsidRPr="00C7664E" w:rsidRDefault="00A03A05" w:rsidP="003F4A8C">
                      <w:pPr>
                        <w:jc w:val="center"/>
                      </w:pPr>
                      <w:r w:rsidRPr="003A0238">
                        <w:rPr>
                          <w:b/>
                          <w:color w:val="002060"/>
                          <w:spacing w:val="-4"/>
                          <w:sz w:val="28"/>
                          <w:szCs w:val="28"/>
                        </w:rPr>
                        <w:t>Enquiry</w:t>
                      </w:r>
                      <w:r w:rsidRPr="00BC1B00">
                        <w:rPr>
                          <w:b/>
                          <w:color w:val="044C75"/>
                          <w:spacing w:val="-40"/>
                          <w:sz w:val="44"/>
                        </w:rPr>
                        <w:br/>
                      </w:r>
                      <w:r w:rsidRPr="003A0238">
                        <w:rPr>
                          <w:color w:val="044C75"/>
                          <w:spacing w:val="-4"/>
                          <w:sz w:val="20"/>
                          <w:szCs w:val="20"/>
                        </w:rPr>
                        <w:t>We provide information about HaDSCO’s complaints process and advice about raising a complaint with the service provider. If the complaint is outside HaDSCO’s jurisdiction we suggest an alternative complaint body to assist. We may also refer individuals to advocacy services for assistance.</w:t>
                      </w:r>
                      <w:r>
                        <w:rPr>
                          <w:color w:val="00658F"/>
                          <w:spacing w:val="-4"/>
                        </w:rPr>
                        <w:t xml:space="preserve"> </w:t>
                      </w:r>
                    </w:p>
                    <w:p w14:paraId="6DEA52EB" w14:textId="77777777" w:rsidR="00A03A05" w:rsidRDefault="00A03A05" w:rsidP="003F4A8C">
                      <w:pPr>
                        <w:jc w:val="center"/>
                      </w:pPr>
                    </w:p>
                  </w:txbxContent>
                </v:textbox>
                <w10:wrap anchorx="margin"/>
              </v:shape>
            </w:pict>
          </mc:Fallback>
        </mc:AlternateContent>
      </w:r>
      <w:r w:rsidR="00CF7826" w:rsidRPr="003F4A8C">
        <w:rPr>
          <w:noProof/>
          <w:lang w:eastAsia="en-AU"/>
        </w:rPr>
        <mc:AlternateContent>
          <mc:Choice Requires="wps">
            <w:drawing>
              <wp:anchor distT="0" distB="0" distL="114300" distR="114300" simplePos="0" relativeHeight="252681216" behindDoc="0" locked="0" layoutInCell="1" allowOverlap="1" wp14:anchorId="5CEBEE65" wp14:editId="37EA4110">
                <wp:simplePos x="0" y="0"/>
                <wp:positionH relativeFrom="margin">
                  <wp:posOffset>32649</wp:posOffset>
                </wp:positionH>
                <wp:positionV relativeFrom="paragraph">
                  <wp:posOffset>4725035</wp:posOffset>
                </wp:positionV>
                <wp:extent cx="5811520" cy="2484755"/>
                <wp:effectExtent l="0" t="0" r="0" b="0"/>
                <wp:wrapNone/>
                <wp:docPr id="3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1520" cy="2484755"/>
                        </a:xfrm>
                        <a:prstGeom prst="rect">
                          <a:avLst/>
                        </a:prstGeom>
                        <a:noFill/>
                        <a:ln w="9525">
                          <a:noFill/>
                          <a:miter lim="800000"/>
                          <a:headEnd/>
                          <a:tailEnd/>
                        </a:ln>
                      </wps:spPr>
                      <wps:txbx>
                        <w:txbxContent>
                          <w:p w14:paraId="23CED311" w14:textId="22BD988F" w:rsidR="00A03A05" w:rsidRPr="003A0238" w:rsidRDefault="00A03A05" w:rsidP="003F4A8C">
                            <w:pPr>
                              <w:spacing w:before="123"/>
                              <w:jc w:val="center"/>
                              <w:rPr>
                                <w:b/>
                                <w:color w:val="044C75"/>
                                <w:spacing w:val="-4"/>
                                <w:sz w:val="20"/>
                                <w:szCs w:val="20"/>
                              </w:rPr>
                            </w:pPr>
                            <w:r w:rsidRPr="00C22296">
                              <w:rPr>
                                <w:b/>
                                <w:color w:val="002060"/>
                                <w:spacing w:val="-4"/>
                                <w:sz w:val="28"/>
                                <w:szCs w:val="28"/>
                              </w:rPr>
                              <w:t>Complaint resolution pathways</w:t>
                            </w:r>
                            <w:r w:rsidRPr="00BC1B00">
                              <w:rPr>
                                <w:color w:val="044C75"/>
                                <w:spacing w:val="-40"/>
                                <w:sz w:val="44"/>
                              </w:rPr>
                              <w:br/>
                            </w:r>
                          </w:p>
                          <w:p w14:paraId="5083E7B3" w14:textId="77777777" w:rsidR="00A03A05" w:rsidRPr="003A0238" w:rsidRDefault="00A03A05" w:rsidP="003F4A8C">
                            <w:pPr>
                              <w:spacing w:before="123"/>
                              <w:jc w:val="center"/>
                              <w:rPr>
                                <w:b/>
                                <w:color w:val="044C75"/>
                                <w:spacing w:val="-4"/>
                                <w:sz w:val="20"/>
                                <w:szCs w:val="20"/>
                              </w:rPr>
                            </w:pPr>
                            <w:r w:rsidRPr="00CF7826">
                              <w:rPr>
                                <w:b/>
                                <w:color w:val="044C75"/>
                                <w:spacing w:val="-4"/>
                                <w:sz w:val="20"/>
                                <w:szCs w:val="20"/>
                              </w:rPr>
                              <w:t>Negotiated settlement:</w:t>
                            </w:r>
                            <w:r w:rsidRPr="003A0238">
                              <w:rPr>
                                <w:color w:val="044C75"/>
                                <w:spacing w:val="-4"/>
                                <w:sz w:val="20"/>
                                <w:szCs w:val="20"/>
                              </w:rPr>
                              <w:t xml:space="preserve"> This is generally a paper based approach where HaDSCO facilitates the exchange of information between the parties to assist in resolving a complaint by negotiating an outcome acceptable to both the individual and the service provider. </w:t>
                            </w:r>
                          </w:p>
                          <w:p w14:paraId="6F5CA487" w14:textId="77777777" w:rsidR="00A03A05" w:rsidRPr="003A0238" w:rsidRDefault="00A03A05" w:rsidP="003F4A8C">
                            <w:pPr>
                              <w:jc w:val="center"/>
                              <w:rPr>
                                <w:color w:val="044C75"/>
                                <w:spacing w:val="-4"/>
                                <w:sz w:val="20"/>
                                <w:szCs w:val="20"/>
                              </w:rPr>
                            </w:pPr>
                            <w:r w:rsidRPr="003A0238">
                              <w:rPr>
                                <w:color w:val="044C75"/>
                                <w:spacing w:val="-4"/>
                                <w:sz w:val="20"/>
                                <w:szCs w:val="20"/>
                              </w:rPr>
                              <w:br/>
                            </w:r>
                            <w:r w:rsidRPr="003A0238">
                              <w:rPr>
                                <w:b/>
                                <w:color w:val="044C75"/>
                                <w:spacing w:val="-4"/>
                                <w:sz w:val="20"/>
                                <w:szCs w:val="20"/>
                              </w:rPr>
                              <w:t xml:space="preserve">Conciliation: </w:t>
                            </w:r>
                            <w:r w:rsidRPr="003A0238">
                              <w:rPr>
                                <w:color w:val="044C75"/>
                                <w:spacing w:val="-4"/>
                                <w:sz w:val="20"/>
                                <w:szCs w:val="20"/>
                              </w:rPr>
                              <w:t xml:space="preserve">This generally involves a face-to-face meeting facilitated by HaDSCO; our role is to encourage the settlement of the complaint. HaDSCO staff will arrange for the service provider and the individual who made the complaint to hold informal discussions about the complaint, and assist them to reach an agreement. </w:t>
                            </w:r>
                          </w:p>
                          <w:p w14:paraId="5020BB77" w14:textId="77777777" w:rsidR="00A03A05" w:rsidRPr="003A0238" w:rsidRDefault="00A03A05" w:rsidP="003F4A8C">
                            <w:pPr>
                              <w:jc w:val="center"/>
                              <w:rPr>
                                <w:color w:val="044C75"/>
                                <w:spacing w:val="-4"/>
                                <w:sz w:val="20"/>
                                <w:szCs w:val="20"/>
                              </w:rPr>
                            </w:pPr>
                          </w:p>
                          <w:p w14:paraId="12C497C7" w14:textId="77777777" w:rsidR="00A03A05" w:rsidRPr="00961A02" w:rsidRDefault="00A03A05" w:rsidP="003F4A8C">
                            <w:pPr>
                              <w:jc w:val="center"/>
                              <w:rPr>
                                <w:color w:val="044C75"/>
                                <w:spacing w:val="-4"/>
                                <w:sz w:val="20"/>
                                <w:szCs w:val="20"/>
                              </w:rPr>
                            </w:pPr>
                            <w:r w:rsidRPr="003A0238">
                              <w:rPr>
                                <w:b/>
                                <w:color w:val="044C75"/>
                                <w:spacing w:val="-4"/>
                                <w:sz w:val="20"/>
                                <w:szCs w:val="20"/>
                              </w:rPr>
                              <w:t xml:space="preserve">Investigation: </w:t>
                            </w:r>
                            <w:r w:rsidRPr="003A0238">
                              <w:rPr>
                                <w:color w:val="044C75"/>
                                <w:spacing w:val="-4"/>
                                <w:sz w:val="20"/>
                                <w:szCs w:val="20"/>
                              </w:rPr>
                              <w:t xml:space="preserve">An investigation is undertaken to determine whether any </w:t>
                            </w:r>
                            <w:r w:rsidRPr="00961A02">
                              <w:rPr>
                                <w:color w:val="044C75"/>
                                <w:spacing w:val="-4"/>
                                <w:sz w:val="20"/>
                                <w:szCs w:val="20"/>
                              </w:rPr>
                              <w:t>unreasonable conduct occurred in providing a health, disability or mental health service.</w:t>
                            </w:r>
                          </w:p>
                          <w:p w14:paraId="1AFF7514" w14:textId="77777777" w:rsidR="00A03A05" w:rsidRPr="00C7664E" w:rsidRDefault="00A03A05" w:rsidP="003F4A8C">
                            <w:pPr>
                              <w:spacing w:before="123"/>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0" type="#_x0000_t202" style="position:absolute;margin-left:2.55pt;margin-top:372.05pt;width:457.6pt;height:195.65pt;z-index:252681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" filled="f" stroked="f">
                <v:textbox>
                  <w:txbxContent>
                    <w:p w14:paraId="23CED311" w14:textId="22BD988F" w:rsidR="00A03A05" w:rsidRPr="003A0238" w:rsidRDefault="00A03A05" w:rsidP="003F4A8C">
                      <w:pPr>
                        <w:spacing w:before="123"/>
                        <w:jc w:val="center"/>
                        <w:rPr>
                          <w:b/>
                          <w:color w:val="044C75"/>
                          <w:spacing w:val="-4"/>
                          <w:sz w:val="20"/>
                          <w:szCs w:val="20"/>
                        </w:rPr>
                      </w:pPr>
                      <w:r w:rsidRPr="00C22296">
                        <w:rPr>
                          <w:b/>
                          <w:color w:val="002060"/>
                          <w:spacing w:val="-4"/>
                          <w:sz w:val="28"/>
                          <w:szCs w:val="28"/>
                        </w:rPr>
                        <w:t>Complaint resolution pathways</w:t>
                      </w:r>
                      <w:r w:rsidRPr="00BC1B00">
                        <w:rPr>
                          <w:color w:val="044C75"/>
                          <w:spacing w:val="-40"/>
                          <w:sz w:val="44"/>
                        </w:rPr>
                        <w:br/>
                      </w:r>
                    </w:p>
                    <w:p w14:paraId="5083E7B3" w14:textId="77777777" w:rsidR="00A03A05" w:rsidRPr="003A0238" w:rsidRDefault="00A03A05" w:rsidP="003F4A8C">
                      <w:pPr>
                        <w:spacing w:before="123"/>
                        <w:jc w:val="center"/>
                        <w:rPr>
                          <w:b/>
                          <w:color w:val="044C75"/>
                          <w:spacing w:val="-4"/>
                          <w:sz w:val="20"/>
                          <w:szCs w:val="20"/>
                        </w:rPr>
                      </w:pPr>
                      <w:r w:rsidRPr="00CF7826">
                        <w:rPr>
                          <w:b/>
                          <w:color w:val="044C75"/>
                          <w:spacing w:val="-4"/>
                          <w:sz w:val="20"/>
                          <w:szCs w:val="20"/>
                        </w:rPr>
                        <w:t>Negotiated settlement:</w:t>
                      </w:r>
                      <w:r w:rsidRPr="003A0238">
                        <w:rPr>
                          <w:color w:val="044C75"/>
                          <w:spacing w:val="-4"/>
                          <w:sz w:val="20"/>
                          <w:szCs w:val="20"/>
                        </w:rPr>
                        <w:t xml:space="preserve"> This is generally a paper based approach where HaDSCO facilitates the exchange of information between the parties to assist in resolving a complaint by negotiating an outcome acceptable to both the individual and the service provider. </w:t>
                      </w:r>
                    </w:p>
                    <w:p w14:paraId="6F5CA487" w14:textId="77777777" w:rsidR="00A03A05" w:rsidRPr="003A0238" w:rsidRDefault="00A03A05" w:rsidP="003F4A8C">
                      <w:pPr>
                        <w:jc w:val="center"/>
                        <w:rPr>
                          <w:color w:val="044C75"/>
                          <w:spacing w:val="-4"/>
                          <w:sz w:val="20"/>
                          <w:szCs w:val="20"/>
                        </w:rPr>
                      </w:pPr>
                      <w:r w:rsidRPr="003A0238">
                        <w:rPr>
                          <w:color w:val="044C75"/>
                          <w:spacing w:val="-4"/>
                          <w:sz w:val="20"/>
                          <w:szCs w:val="20"/>
                        </w:rPr>
                        <w:br/>
                      </w:r>
                      <w:r w:rsidRPr="003A0238">
                        <w:rPr>
                          <w:b/>
                          <w:color w:val="044C75"/>
                          <w:spacing w:val="-4"/>
                          <w:sz w:val="20"/>
                          <w:szCs w:val="20"/>
                        </w:rPr>
                        <w:t xml:space="preserve">Conciliation: </w:t>
                      </w:r>
                      <w:r w:rsidRPr="003A0238">
                        <w:rPr>
                          <w:color w:val="044C75"/>
                          <w:spacing w:val="-4"/>
                          <w:sz w:val="20"/>
                          <w:szCs w:val="20"/>
                        </w:rPr>
                        <w:t xml:space="preserve">This generally involves a face-to-face meeting facilitated by HaDSCO; our role is to encourage the settlement of the complaint. HaDSCO staff will arrange for the service provider and the individual who made the complaint to hold informal discussions about the complaint, and assist them to reach an agreement. </w:t>
                      </w:r>
                    </w:p>
                    <w:p w14:paraId="5020BB77" w14:textId="77777777" w:rsidR="00A03A05" w:rsidRPr="003A0238" w:rsidRDefault="00A03A05" w:rsidP="003F4A8C">
                      <w:pPr>
                        <w:jc w:val="center"/>
                        <w:rPr>
                          <w:color w:val="044C75"/>
                          <w:spacing w:val="-4"/>
                          <w:sz w:val="20"/>
                          <w:szCs w:val="20"/>
                        </w:rPr>
                      </w:pPr>
                    </w:p>
                    <w:p w14:paraId="12C497C7" w14:textId="77777777" w:rsidR="00A03A05" w:rsidRPr="00961A02" w:rsidRDefault="00A03A05" w:rsidP="003F4A8C">
                      <w:pPr>
                        <w:jc w:val="center"/>
                        <w:rPr>
                          <w:color w:val="044C75"/>
                          <w:spacing w:val="-4"/>
                          <w:sz w:val="20"/>
                          <w:szCs w:val="20"/>
                        </w:rPr>
                      </w:pPr>
                      <w:r w:rsidRPr="003A0238">
                        <w:rPr>
                          <w:b/>
                          <w:color w:val="044C75"/>
                          <w:spacing w:val="-4"/>
                          <w:sz w:val="20"/>
                          <w:szCs w:val="20"/>
                        </w:rPr>
                        <w:t xml:space="preserve">Investigation: </w:t>
                      </w:r>
                      <w:r w:rsidRPr="003A0238">
                        <w:rPr>
                          <w:color w:val="044C75"/>
                          <w:spacing w:val="-4"/>
                          <w:sz w:val="20"/>
                          <w:szCs w:val="20"/>
                        </w:rPr>
                        <w:t xml:space="preserve">An investigation is undertaken to determine whether any </w:t>
                      </w:r>
                      <w:r w:rsidRPr="00961A02">
                        <w:rPr>
                          <w:color w:val="044C75"/>
                          <w:spacing w:val="-4"/>
                          <w:sz w:val="20"/>
                          <w:szCs w:val="20"/>
                        </w:rPr>
                        <w:t>unreasonable conduct occurred in providing a health, disability or mental health service.</w:t>
                      </w:r>
                    </w:p>
                    <w:p w14:paraId="1AFF7514" w14:textId="77777777" w:rsidR="00A03A05" w:rsidRPr="00C7664E" w:rsidRDefault="00A03A05" w:rsidP="003F4A8C">
                      <w:pPr>
                        <w:spacing w:before="123"/>
                        <w:jc w:val="center"/>
                      </w:pPr>
                    </w:p>
                  </w:txbxContent>
                </v:textbox>
                <w10:wrap anchorx="margin"/>
              </v:shape>
            </w:pict>
          </mc:Fallback>
        </mc:AlternateContent>
      </w:r>
      <w:r w:rsidR="00CF7826" w:rsidRPr="003F4A8C">
        <w:rPr>
          <w:noProof/>
          <w:lang w:eastAsia="en-AU"/>
        </w:rPr>
        <mc:AlternateContent>
          <mc:Choice Requires="wps">
            <w:drawing>
              <wp:anchor distT="0" distB="0" distL="114300" distR="114300" simplePos="0" relativeHeight="252682240" behindDoc="1" locked="0" layoutInCell="1" allowOverlap="1" wp14:anchorId="56000B07" wp14:editId="30CEDE27">
                <wp:simplePos x="0" y="0"/>
                <wp:positionH relativeFrom="column">
                  <wp:posOffset>1643063</wp:posOffset>
                </wp:positionH>
                <wp:positionV relativeFrom="paragraph">
                  <wp:posOffset>2992066</wp:posOffset>
                </wp:positionV>
                <wp:extent cx="2590800" cy="5735955"/>
                <wp:effectExtent l="27622" t="29528" r="27623" b="46672"/>
                <wp:wrapNone/>
                <wp:docPr id="339" name="Chevron 38"/>
                <wp:cNvGraphicFramePr/>
                <a:graphic xmlns:a="http://schemas.openxmlformats.org/drawingml/2006/main">
                  <a:graphicData uri="http://schemas.microsoft.com/office/word/2010/wordprocessingShape">
                    <wps:wsp>
                      <wps:cNvSpPr/>
                      <wps:spPr>
                        <a:xfrm rot="5400000">
                          <a:off x="0" y="0"/>
                          <a:ext cx="2590800" cy="5735955"/>
                        </a:xfrm>
                        <a:prstGeom prst="chevron">
                          <a:avLst>
                            <a:gd name="adj" fmla="val 7568"/>
                          </a:avLst>
                        </a:prstGeom>
                        <a:ln w="38100">
                          <a:solidFill>
                            <a:srgbClr val="04356B"/>
                          </a:solidFill>
                        </a:ln>
                      </wps:spPr>
                      <wps:style>
                        <a:lnRef idx="2">
                          <a:schemeClr val="accent1"/>
                        </a:lnRef>
                        <a:fillRef idx="1">
                          <a:schemeClr val="lt1"/>
                        </a:fillRef>
                        <a:effectRef idx="0">
                          <a:schemeClr val="accent1"/>
                        </a:effectRef>
                        <a:fontRef idx="minor">
                          <a:schemeClr val="dk1"/>
                        </a:fontRef>
                      </wps:style>
                      <wps:txbx>
                        <w:txbxContent>
                          <w:p w14:paraId="553B3431" w14:textId="77777777" w:rsidR="00A03A05" w:rsidRDefault="00A03A05" w:rsidP="003F4A8C"/>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hevron 38" o:spid="_x0000_s1061" type="#_x0000_t55" style="position:absolute;margin-left:129.4pt;margin-top:235.6pt;width:204pt;height:451.65pt;rotation:90;z-index:-25063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" adj="19965" fillcolor="white [3201]" strokecolor="#04356b" strokeweight="3pt">
                <v:textbox style="layout-flow:vertical;mso-layout-flow-alt:bottom-to-top">
                  <w:txbxContent>
                    <w:p w14:paraId="553B3431" w14:textId="77777777" w:rsidR="00A03A05" w:rsidRDefault="00A03A05" w:rsidP="003F4A8C"/>
                  </w:txbxContent>
                </v:textbox>
              </v:shape>
            </w:pict>
          </mc:Fallback>
        </mc:AlternateContent>
      </w:r>
    </w:p>
    <w:p w14:paraId="5E67FF3F" w14:textId="6171EC53" w:rsidR="0040621A" w:rsidRDefault="0040621A" w:rsidP="0040621A">
      <w:pPr>
        <w:pStyle w:val="NormalWeb"/>
        <w:spacing w:after="0"/>
        <w:jc w:val="center"/>
        <w:rPr>
          <w:rFonts w:eastAsiaTheme="majorEastAsia" w:cstheme="majorBidi"/>
          <w:b/>
          <w:bCs/>
          <w:iCs/>
          <w:color w:val="365F91" w:themeColor="accent1" w:themeShade="BF"/>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pPr>
      <w:r w:rsidRPr="00290B88">
        <w:rPr>
          <w:rFonts w:eastAsiaTheme="majorEastAsia" w:cstheme="majorBidi"/>
          <w:b/>
          <w:bCs/>
          <w:iCs/>
          <w:noProof/>
          <w:color w:val="365F91" w:themeColor="accent1" w:themeShade="BF"/>
          <w:lang w:val="en-AU"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lastRenderedPageBreak/>
        <mc:AlternateContent>
          <mc:Choice Requires="wps">
            <w:drawing>
              <wp:anchor distT="0" distB="0" distL="114300" distR="114300" simplePos="0" relativeHeight="252244992" behindDoc="0" locked="0" layoutInCell="1" allowOverlap="1" wp14:anchorId="674312D9" wp14:editId="19829089">
                <wp:simplePos x="0" y="0"/>
                <wp:positionH relativeFrom="column">
                  <wp:posOffset>2297117</wp:posOffset>
                </wp:positionH>
                <wp:positionV relativeFrom="paragraph">
                  <wp:posOffset>360680</wp:posOffset>
                </wp:positionV>
                <wp:extent cx="1151890" cy="359410"/>
                <wp:effectExtent l="0" t="0" r="0" b="2540"/>
                <wp:wrapNone/>
                <wp:docPr id="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1890" cy="359410"/>
                        </a:xfrm>
                        <a:prstGeom prst="rect">
                          <a:avLst/>
                        </a:prstGeom>
                        <a:noFill/>
                        <a:ln w="9525">
                          <a:noFill/>
                          <a:miter lim="800000"/>
                          <a:headEnd/>
                          <a:tailEnd/>
                        </a:ln>
                      </wps:spPr>
                      <wps:txbx>
                        <w:txbxContent>
                          <w:p w14:paraId="2FDAF6C2" w14:textId="77777777" w:rsidR="00A03A05" w:rsidRPr="00CF6D53" w:rsidRDefault="00A03A05" w:rsidP="0040621A">
                            <w:pPr>
                              <w:pStyle w:val="NormalWeb"/>
                              <w:spacing w:after="0"/>
                              <w:jc w:val="center"/>
                              <w:rPr>
                                <w:rFonts w:ascii="Arial" w:eastAsiaTheme="majorEastAsia" w:hAnsi="Arial" w:cstheme="majorBidi"/>
                                <w:b/>
                                <w:bCs/>
                                <w:iCs/>
                                <w:color w:val="2487C4"/>
                                <w:lang w:val="en-AU"/>
                              </w:rPr>
                            </w:pPr>
                          </w:p>
                        </w:txbxContent>
                      </wps:txbx>
                      <wps:bodyPr rot="0" vert="horz" wrap="square" lIns="91440" tIns="45720" rIns="91440" bIns="45720" anchor="t" anchorCtr="0">
                        <a:noAutofit/>
                      </wps:bodyPr>
                    </wps:wsp>
                  </a:graphicData>
                </a:graphic>
              </wp:anchor>
            </w:drawing>
          </mc:Choice>
          <mc:Fallback>
            <w:pict>
              <v:shape id="_x0000_s1062" type="#_x0000_t202" style="position:absolute;left:0;text-align:left;margin-left:180.9pt;margin-top:28.4pt;width:90.7pt;height:28.3pt;z-index:252244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" filled="f" stroked="f">
                <v:textbox>
                  <w:txbxContent>
                    <w:p w14:paraId="2FDAF6C2" w14:textId="77777777" w:rsidR="00A03A05" w:rsidRPr="00CF6D53" w:rsidRDefault="00A03A05" w:rsidP="0040621A">
                      <w:pPr>
                        <w:pStyle w:val="NormalWeb"/>
                        <w:spacing w:after="0"/>
                        <w:jc w:val="center"/>
                        <w:rPr>
                          <w:rFonts w:ascii="Arial" w:eastAsiaTheme="majorEastAsia" w:hAnsi="Arial" w:cstheme="majorBidi"/>
                          <w:b/>
                          <w:bCs/>
                          <w:iCs/>
                          <w:color w:val="2487C4"/>
                          <w:lang w:val="en-AU"/>
                        </w:rPr>
                      </w:pPr>
                    </w:p>
                  </w:txbxContent>
                </v:textbox>
              </v:shape>
            </w:pict>
          </mc:Fallback>
        </mc:AlternateContent>
      </w:r>
      <w:r>
        <w:rPr>
          <w:rFonts w:eastAsiaTheme="majorEastAsia" w:cstheme="majorBidi"/>
          <w:b/>
          <w:bCs/>
          <w:iCs/>
          <w:color w:val="365F91" w:themeColor="accent1" w:themeShade="BF"/>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br w:type="page"/>
      </w:r>
    </w:p>
    <w:p w14:paraId="499954E1" w14:textId="77777777" w:rsidR="0041542C" w:rsidRDefault="0041542C" w:rsidP="000B6A67">
      <w:pPr>
        <w:pStyle w:val="Heading2"/>
        <w:numPr>
          <w:ilvl w:val="1"/>
          <w:numId w:val="18"/>
        </w:numPr>
        <w:rPr>
          <w:color w:val="04356B"/>
          <w:highlight w:val="cyan"/>
        </w:rPr>
        <w:sectPr w:rsidR="0041542C" w:rsidSect="004F055F">
          <w:type w:val="continuous"/>
          <w:pgSz w:w="11907" w:h="16840" w:code="9"/>
          <w:pgMar w:top="1134" w:right="1440" w:bottom="1440" w:left="1440" w:header="720" w:footer="709" w:gutter="0"/>
          <w:cols w:num="2" w:space="720"/>
          <w:titlePg/>
          <w:docGrid w:linePitch="326"/>
        </w:sectPr>
      </w:pPr>
      <w:bookmarkStart w:id="10" w:name="_Toc493506747"/>
    </w:p>
    <w:p w14:paraId="56B80C72" w14:textId="2D204239" w:rsidR="00C8307B" w:rsidRPr="00917FE9" w:rsidRDefault="00872E70" w:rsidP="000B6A67">
      <w:pPr>
        <w:pStyle w:val="Heading2"/>
        <w:numPr>
          <w:ilvl w:val="1"/>
          <w:numId w:val="18"/>
        </w:numPr>
        <w:rPr>
          <w:color w:val="033349"/>
        </w:rPr>
      </w:pPr>
      <w:bookmarkStart w:id="11" w:name="_Toc522094793"/>
      <w:r w:rsidRPr="00917FE9">
        <w:rPr>
          <w:color w:val="04356B"/>
        </w:rPr>
        <w:lastRenderedPageBreak/>
        <w:t>Overview of</w:t>
      </w:r>
      <w:r w:rsidR="00C8307B" w:rsidRPr="00917FE9">
        <w:rPr>
          <w:color w:val="04356B"/>
        </w:rPr>
        <w:t xml:space="preserve"> complaints</w:t>
      </w:r>
      <w:bookmarkEnd w:id="10"/>
      <w:bookmarkEnd w:id="11"/>
      <w:r w:rsidR="00C8307B" w:rsidRPr="00917FE9">
        <w:rPr>
          <w:color w:val="033349"/>
        </w:rPr>
        <w:t xml:space="preserve"> </w:t>
      </w:r>
    </w:p>
    <w:p w14:paraId="6DC25537" w14:textId="77777777" w:rsidR="0085711B" w:rsidRPr="0085711B" w:rsidRDefault="0085711B" w:rsidP="0085711B"/>
    <w:p w14:paraId="534C1D15" w14:textId="1B5B1B70" w:rsidR="00250BF3" w:rsidRDefault="006316D2" w:rsidP="002E10FF">
      <w:pPr>
        <w:rPr>
          <w:color w:val="000000" w:themeColor="text1"/>
        </w:rPr>
      </w:pPr>
      <w:r>
        <w:t>In 2017-18</w:t>
      </w:r>
      <w:r w:rsidRPr="00876AF8">
        <w:t xml:space="preserve">, </w:t>
      </w:r>
      <w:r>
        <w:t>HaDSCO</w:t>
      </w:r>
      <w:r w:rsidRPr="00876AF8">
        <w:t xml:space="preserve"> received </w:t>
      </w:r>
      <w:r>
        <w:rPr>
          <w:b/>
          <w:color w:val="033349"/>
          <w:sz w:val="32"/>
          <w:szCs w:val="36"/>
        </w:rPr>
        <w:t>2,719</w:t>
      </w:r>
      <w:r w:rsidRPr="00916024">
        <w:rPr>
          <w:color w:val="033349"/>
        </w:rPr>
        <w:t xml:space="preserve"> </w:t>
      </w:r>
      <w:r w:rsidRPr="00876AF8">
        <w:t>complaints</w:t>
      </w:r>
      <w:r>
        <w:t>,</w:t>
      </w:r>
      <w:r w:rsidRPr="00876AF8">
        <w:t xml:space="preserve"> </w:t>
      </w:r>
      <w:r>
        <w:t xml:space="preserve">and </w:t>
      </w:r>
      <w:r w:rsidRPr="00876AF8">
        <w:t xml:space="preserve">closed </w:t>
      </w:r>
      <w:r>
        <w:rPr>
          <w:b/>
          <w:color w:val="033349"/>
          <w:sz w:val="32"/>
          <w:szCs w:val="36"/>
        </w:rPr>
        <w:t>2,775</w:t>
      </w:r>
      <w:r w:rsidRPr="00916024">
        <w:rPr>
          <w:color w:val="033349"/>
        </w:rPr>
        <w:t xml:space="preserve"> </w:t>
      </w:r>
      <w:r w:rsidRPr="00876AF8">
        <w:t>complaints.</w:t>
      </w:r>
      <w:r>
        <w:t xml:space="preserve"> The number of c</w:t>
      </w:r>
      <w:r w:rsidRPr="00457856">
        <w:rPr>
          <w:color w:val="000000" w:themeColor="text1"/>
        </w:rPr>
        <w:t xml:space="preserve">omplaints received and closed in </w:t>
      </w:r>
      <w:r>
        <w:rPr>
          <w:color w:val="000000" w:themeColor="text1"/>
        </w:rPr>
        <w:t>2017-18 is not the same;</w:t>
      </w:r>
      <w:r w:rsidRPr="00457856">
        <w:rPr>
          <w:color w:val="000000" w:themeColor="text1"/>
        </w:rPr>
        <w:t xml:space="preserve"> </w:t>
      </w:r>
      <w:r>
        <w:rPr>
          <w:color w:val="000000" w:themeColor="text1"/>
        </w:rPr>
        <w:t>t</w:t>
      </w:r>
      <w:r w:rsidRPr="00457856">
        <w:rPr>
          <w:color w:val="000000" w:themeColor="text1"/>
        </w:rPr>
        <w:t xml:space="preserve">his is because complaints are not always closed in the same year that they are received. </w:t>
      </w:r>
      <w:r>
        <w:rPr>
          <w:color w:val="000000" w:themeColor="text1"/>
        </w:rPr>
        <w:t xml:space="preserve">A total of 68 complaints received in 2017-18 </w:t>
      </w:r>
      <w:r w:rsidR="005977B4">
        <w:rPr>
          <w:color w:val="000000" w:themeColor="text1"/>
        </w:rPr>
        <w:t>were</w:t>
      </w:r>
      <w:r>
        <w:rPr>
          <w:color w:val="000000" w:themeColor="text1"/>
        </w:rPr>
        <w:t xml:space="preserve"> still active</w:t>
      </w:r>
      <w:r w:rsidR="005977B4">
        <w:rPr>
          <w:color w:val="000000" w:themeColor="text1"/>
        </w:rPr>
        <w:t xml:space="preserve"> on 30 June 2018</w:t>
      </w:r>
      <w:r>
        <w:rPr>
          <w:color w:val="000000" w:themeColor="text1"/>
        </w:rPr>
        <w:t>, and will continue to be managed in 2018-19.</w:t>
      </w:r>
    </w:p>
    <w:p w14:paraId="2A04A372" w14:textId="77777777" w:rsidR="00892AC6" w:rsidRDefault="00892AC6" w:rsidP="002E10FF">
      <w:pPr>
        <w:rPr>
          <w:color w:val="000000" w:themeColor="text1"/>
        </w:rPr>
      </w:pPr>
    </w:p>
    <w:p w14:paraId="0EFF06B6" w14:textId="77777777" w:rsidR="00250BF3" w:rsidRDefault="00892AC6" w:rsidP="009B5461">
      <w:pPr>
        <w:spacing w:line="276" w:lineRule="auto"/>
        <w:rPr>
          <w:color w:val="000000" w:themeColor="text1"/>
        </w:rPr>
      </w:pPr>
      <w:r>
        <w:rPr>
          <w:noProof/>
          <w:color w:val="000000" w:themeColor="text1"/>
          <w:lang w:eastAsia="en-AU"/>
        </w:rPr>
        <mc:AlternateContent>
          <mc:Choice Requires="wps">
            <w:drawing>
              <wp:anchor distT="0" distB="0" distL="114300" distR="114300" simplePos="0" relativeHeight="252641280" behindDoc="0" locked="0" layoutInCell="1" allowOverlap="1" wp14:anchorId="160C9B51" wp14:editId="7CAF3EB3">
                <wp:simplePos x="0" y="0"/>
                <wp:positionH relativeFrom="column">
                  <wp:posOffset>63500</wp:posOffset>
                </wp:positionH>
                <wp:positionV relativeFrom="paragraph">
                  <wp:posOffset>93133</wp:posOffset>
                </wp:positionV>
                <wp:extent cx="5584825" cy="4808644"/>
                <wp:effectExtent l="0" t="0" r="15875" b="11430"/>
                <wp:wrapNone/>
                <wp:docPr id="342" name="Rectangle 342"/>
                <wp:cNvGraphicFramePr/>
                <a:graphic xmlns:a="http://schemas.openxmlformats.org/drawingml/2006/main">
                  <a:graphicData uri="http://schemas.microsoft.com/office/word/2010/wordprocessingShape">
                    <wps:wsp>
                      <wps:cNvSpPr/>
                      <wps:spPr>
                        <a:xfrm>
                          <a:off x="0" y="0"/>
                          <a:ext cx="5584825" cy="4808644"/>
                        </a:xfrm>
                        <a:prstGeom prst="rect">
                          <a:avLst/>
                        </a:prstGeom>
                        <a:noFill/>
                        <a:ln>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A71A932" id="Rectangle 342" o:spid="_x0000_s1026" style="position:absolute;margin-left:5pt;margin-top:7.35pt;width:439.75pt;height:378.65pt;z-index:25264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" filled="f" strokecolor="#002060" strokeweight="2pt"/>
            </w:pict>
          </mc:Fallback>
        </mc:AlternateContent>
      </w:r>
      <w:r w:rsidR="00ED6637">
        <w:rPr>
          <w:noProof/>
          <w:color w:val="000000" w:themeColor="text1"/>
          <w:lang w:eastAsia="en-AU"/>
        </w:rPr>
        <mc:AlternateContent>
          <mc:Choice Requires="wps">
            <w:drawing>
              <wp:anchor distT="0" distB="0" distL="114300" distR="114300" simplePos="0" relativeHeight="252617728" behindDoc="0" locked="0" layoutInCell="1" allowOverlap="1" wp14:anchorId="6DB377CF" wp14:editId="19083A43">
                <wp:simplePos x="0" y="0"/>
                <wp:positionH relativeFrom="column">
                  <wp:posOffset>3496089</wp:posOffset>
                </wp:positionH>
                <wp:positionV relativeFrom="paragraph">
                  <wp:posOffset>45720</wp:posOffset>
                </wp:positionV>
                <wp:extent cx="1990725" cy="2714625"/>
                <wp:effectExtent l="0" t="0" r="0" b="0"/>
                <wp:wrapNone/>
                <wp:docPr id="295" name="Circular Arrow 295"/>
                <wp:cNvGraphicFramePr/>
                <a:graphic xmlns:a="http://schemas.openxmlformats.org/drawingml/2006/main">
                  <a:graphicData uri="http://schemas.microsoft.com/office/word/2010/wordprocessingShape">
                    <wps:wsp>
                      <wps:cNvSpPr/>
                      <wps:spPr>
                        <a:xfrm rot="16200000">
                          <a:off x="0" y="0"/>
                          <a:ext cx="1990725" cy="2714625"/>
                        </a:xfrm>
                        <a:prstGeom prst="circularArrow">
                          <a:avLst>
                            <a:gd name="adj1" fmla="val 14185"/>
                            <a:gd name="adj2" fmla="val 1142319"/>
                            <a:gd name="adj3" fmla="val 18966046"/>
                            <a:gd name="adj4" fmla="val 16044134"/>
                            <a:gd name="adj5" fmla="val 17574"/>
                          </a:avLst>
                        </a:prstGeom>
                        <a:solidFill>
                          <a:srgbClr val="1168A9"/>
                        </a:soli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2B025F" id="Circular Arrow 295" o:spid="_x0000_s1026" style="position:absolute;margin-left:275.3pt;margin-top:3.6pt;width:156.75pt;height:213.75pt;rotation:-90;z-index:252617728;visibility:visible;mso-wrap-style:square;mso-wrap-distance-left:9pt;mso-wrap-distance-top:0;mso-wrap-distance-right:9pt;mso-wrap-distance-bottom:0;mso-position-horizontal:absolute;mso-position-horizontal-relative:text;mso-position-vertical:absolute;mso-position-vertical-relative:text;v-text-anchor:middle" coordsize="1990725,2714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" path="m943361,211170v295352,-28567,576689,187341,728058,558739l1862258,681484r-248078,389100l1227396,975646r191463,-88714c1318341,619915,1140737,468954,956179,493660l943361,211170xe" fillcolor="#1168a9" stroked="f" strokeweight="2pt">
                <v:path arrowok="t" o:connecttype="custom" o:connectlocs="943361,211170;1671419,769909;1862258,681484;1614180,1070584;1227396,975646;1418859,886932;956179,493660;943361,211170" o:connectangles="0,0,0,0,0,0,0,0"/>
              </v:shape>
            </w:pict>
          </mc:Fallback>
        </mc:AlternateContent>
      </w:r>
    </w:p>
    <w:p w14:paraId="68B133BB" w14:textId="77777777" w:rsidR="00C8307B" w:rsidRDefault="0050678C" w:rsidP="009B5461">
      <w:pPr>
        <w:spacing w:line="276" w:lineRule="auto"/>
        <w:rPr>
          <w:color w:val="000000" w:themeColor="text1"/>
        </w:rPr>
      </w:pPr>
      <w:r>
        <w:rPr>
          <w:noProof/>
          <w:color w:val="000000" w:themeColor="text1"/>
          <w:lang w:eastAsia="en-AU"/>
        </w:rPr>
        <mc:AlternateContent>
          <mc:Choice Requires="wpg">
            <w:drawing>
              <wp:anchor distT="0" distB="0" distL="114300" distR="114300" simplePos="0" relativeHeight="252210176" behindDoc="0" locked="0" layoutInCell="1" allowOverlap="1" wp14:anchorId="6BAFCBC4" wp14:editId="52291D95">
                <wp:simplePos x="0" y="0"/>
                <wp:positionH relativeFrom="column">
                  <wp:posOffset>4350224</wp:posOffset>
                </wp:positionH>
                <wp:positionV relativeFrom="paragraph">
                  <wp:posOffset>52866</wp:posOffset>
                </wp:positionV>
                <wp:extent cx="1019175" cy="952500"/>
                <wp:effectExtent l="0" t="0" r="28575" b="19050"/>
                <wp:wrapNone/>
                <wp:docPr id="50" name="Group 50"/>
                <wp:cNvGraphicFramePr/>
                <a:graphic xmlns:a="http://schemas.openxmlformats.org/drawingml/2006/main">
                  <a:graphicData uri="http://schemas.microsoft.com/office/word/2010/wordprocessingGroup">
                    <wpg:wgp>
                      <wpg:cNvGrpSpPr/>
                      <wpg:grpSpPr>
                        <a:xfrm>
                          <a:off x="0" y="0"/>
                          <a:ext cx="1019175" cy="952500"/>
                          <a:chOff x="0" y="0"/>
                          <a:chExt cx="1019175" cy="952500"/>
                        </a:xfrm>
                      </wpg:grpSpPr>
                      <wps:wsp>
                        <wps:cNvPr id="51" name="Oval 51"/>
                        <wps:cNvSpPr/>
                        <wps:spPr>
                          <a:xfrm>
                            <a:off x="0" y="0"/>
                            <a:ext cx="1019175" cy="952500"/>
                          </a:xfrm>
                          <a:prstGeom prst="ellipse">
                            <a:avLst/>
                          </a:prstGeom>
                          <a:ln>
                            <a:solidFill>
                              <a:srgbClr val="1168A9"/>
                            </a:solidFill>
                          </a:ln>
                        </wps:spPr>
                        <wps:style>
                          <a:lnRef idx="2">
                            <a:schemeClr val="accent1"/>
                          </a:lnRef>
                          <a:fillRef idx="1">
                            <a:schemeClr val="lt1"/>
                          </a:fillRef>
                          <a:effectRef idx="0">
                            <a:schemeClr val="accent1"/>
                          </a:effectRef>
                          <a:fontRef idx="minor">
                            <a:schemeClr val="dk1"/>
                          </a:fontRef>
                        </wps:style>
                        <wps:txbx>
                          <w:txbxContent>
                            <w:p w14:paraId="7601C150" w14:textId="77777777" w:rsidR="00A03A05" w:rsidRPr="00487B5A" w:rsidRDefault="00A03A05" w:rsidP="00C8307B">
                              <w:pPr>
                                <w:jc w:val="center"/>
                                <w:rPr>
                                  <w:color w:val="2487C4"/>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Text Box 2"/>
                        <wps:cNvSpPr txBox="1">
                          <a:spLocks noChangeArrowheads="1"/>
                        </wps:cNvSpPr>
                        <wps:spPr bwMode="auto">
                          <a:xfrm>
                            <a:off x="85725" y="171450"/>
                            <a:ext cx="836295" cy="609600"/>
                          </a:xfrm>
                          <a:prstGeom prst="rect">
                            <a:avLst/>
                          </a:prstGeom>
                          <a:noFill/>
                          <a:ln w="9525">
                            <a:noFill/>
                            <a:miter lim="800000"/>
                            <a:headEnd/>
                            <a:tailEnd/>
                          </a:ln>
                        </wps:spPr>
                        <wps:txbx>
                          <w:txbxContent>
                            <w:p w14:paraId="1794171D" w14:textId="77777777" w:rsidR="00A03A05" w:rsidRPr="00487B5A" w:rsidRDefault="00A03A05" w:rsidP="00C8307B">
                              <w:pPr>
                                <w:jc w:val="center"/>
                                <w:rPr>
                                  <w:color w:val="2487C4"/>
                                  <w:sz w:val="18"/>
                                </w:rPr>
                              </w:pPr>
                              <w:r w:rsidRPr="00487B5A">
                                <w:rPr>
                                  <w:color w:val="2487C4"/>
                                  <w:sz w:val="18"/>
                                </w:rPr>
                                <w:t>closed</w:t>
                              </w:r>
                            </w:p>
                            <w:p w14:paraId="27476570" w14:textId="789BD6A9" w:rsidR="00A03A05" w:rsidRPr="00452A93" w:rsidRDefault="00A03A05" w:rsidP="00C8307B">
                              <w:pPr>
                                <w:jc w:val="center"/>
                                <w:rPr>
                                  <w:b/>
                                  <w:color w:val="2487C4"/>
                                  <w:sz w:val="32"/>
                                </w:rPr>
                              </w:pPr>
                              <w:r>
                                <w:rPr>
                                  <w:b/>
                                  <w:color w:val="2487C4"/>
                                  <w:sz w:val="32"/>
                                </w:rPr>
                                <w:t>2,775</w:t>
                              </w:r>
                            </w:p>
                            <w:p w14:paraId="790B5279" w14:textId="77777777" w:rsidR="00A03A05" w:rsidRPr="00487B5A" w:rsidRDefault="00A03A05" w:rsidP="00C8307B">
                              <w:pPr>
                                <w:jc w:val="center"/>
                                <w:rPr>
                                  <w:color w:val="2487C4"/>
                                  <w:sz w:val="18"/>
                                </w:rPr>
                              </w:pPr>
                              <w:r w:rsidRPr="00487B5A">
                                <w:rPr>
                                  <w:color w:val="2487C4"/>
                                  <w:sz w:val="18"/>
                                </w:rPr>
                                <w:t>complaints</w:t>
                              </w:r>
                            </w:p>
                            <w:p w14:paraId="4267F587" w14:textId="77777777" w:rsidR="00A03A05" w:rsidRDefault="00A03A05" w:rsidP="00C8307B"/>
                          </w:txbxContent>
                        </wps:txbx>
                        <wps:bodyPr rot="0" vert="horz" wrap="square" lIns="91440" tIns="45720" rIns="91440" bIns="45720" anchor="t" anchorCtr="0">
                          <a:noAutofit/>
                        </wps:bodyPr>
                      </wps:wsp>
                    </wpg:wgp>
                  </a:graphicData>
                </a:graphic>
              </wp:anchor>
            </w:drawing>
          </mc:Choice>
          <mc:Fallback>
            <w:pict>
              <v:group id="Group 50" o:spid="_x0000_s1063" style="position:absolute;margin-left:342.55pt;margin-top:4.15pt;width:80.25pt;height:75pt;z-index:252210176" coordsize="10191,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">
                <v:oval id="Oval 51" o:spid="_x0000_s1064" style="position:absolute;width:10191;height:9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TOMsEA&#10;AADbAAAADwAAAGRycy9kb3ducmV2LnhtbESP3YrCMBCF7xd8hzCCd2viikWqUURYVBBkqw8wNGNb&#10;bCaliVp9eiMIe3k4Px9nvuxsLW7U+sqxhtFQgSDOnam40HA6/n5PQfiAbLB2TBoe5GG56H3NMTXu&#10;zn90y0Ih4gj7FDWUITSplD4vyaIfuoY4emfXWgxRtoU0Ld7juK3lj1KJtFhxJJTY0Lqk/JJdbYRs&#10;D/tKJe6wGaudOYYsGz+Th9aDfreagQjUhf/wp701GiYjeH+JP0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UzjLBAAAA2wAAAA8AAAAAAAAAAAAAAAAAmAIAAGRycy9kb3du&#10;cmV2LnhtbFBLBQYAAAAABAAEAPUAAACGAwAAAAA=&#10;" fillcolor="white [3201]" strokecolor="#1168a9" strokeweight="2pt">
                  <v:textbox>
                    <w:txbxContent>
                      <w:p w14:paraId="7601C150" w14:textId="77777777" w:rsidR="00A03A05" w:rsidRPr="00487B5A" w:rsidRDefault="00A03A05" w:rsidP="00C8307B">
                        <w:pPr>
                          <w:jc w:val="center"/>
                          <w:rPr>
                            <w:color w:val="2487C4"/>
                            <w:sz w:val="18"/>
                          </w:rPr>
                        </w:pPr>
                      </w:p>
                    </w:txbxContent>
                  </v:textbox>
                </v:oval>
                <v:shape id="_x0000_s1065" type="#_x0000_t202" style="position:absolute;left:857;top:1714;width:8363;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14:paraId="1794171D" w14:textId="77777777" w:rsidR="00A03A05" w:rsidRPr="00487B5A" w:rsidRDefault="00A03A05" w:rsidP="00C8307B">
                        <w:pPr>
                          <w:jc w:val="center"/>
                          <w:rPr>
                            <w:color w:val="2487C4"/>
                            <w:sz w:val="18"/>
                          </w:rPr>
                        </w:pPr>
                        <w:r w:rsidRPr="00487B5A">
                          <w:rPr>
                            <w:color w:val="2487C4"/>
                            <w:sz w:val="18"/>
                          </w:rPr>
                          <w:t>closed</w:t>
                        </w:r>
                      </w:p>
                      <w:p w14:paraId="27476570" w14:textId="789BD6A9" w:rsidR="00A03A05" w:rsidRPr="00452A93" w:rsidRDefault="00A03A05" w:rsidP="00C8307B">
                        <w:pPr>
                          <w:jc w:val="center"/>
                          <w:rPr>
                            <w:b/>
                            <w:color w:val="2487C4"/>
                            <w:sz w:val="32"/>
                          </w:rPr>
                        </w:pPr>
                        <w:r>
                          <w:rPr>
                            <w:b/>
                            <w:color w:val="2487C4"/>
                            <w:sz w:val="32"/>
                          </w:rPr>
                          <w:t>2,775</w:t>
                        </w:r>
                      </w:p>
                      <w:p w14:paraId="790B5279" w14:textId="77777777" w:rsidR="00A03A05" w:rsidRPr="00487B5A" w:rsidRDefault="00A03A05" w:rsidP="00C8307B">
                        <w:pPr>
                          <w:jc w:val="center"/>
                          <w:rPr>
                            <w:color w:val="2487C4"/>
                            <w:sz w:val="18"/>
                          </w:rPr>
                        </w:pPr>
                        <w:r w:rsidRPr="00487B5A">
                          <w:rPr>
                            <w:color w:val="2487C4"/>
                            <w:sz w:val="18"/>
                          </w:rPr>
                          <w:t>complaints</w:t>
                        </w:r>
                      </w:p>
                      <w:p w14:paraId="4267F587" w14:textId="77777777" w:rsidR="00A03A05" w:rsidRDefault="00A03A05" w:rsidP="00C8307B"/>
                    </w:txbxContent>
                  </v:textbox>
                </v:shape>
              </v:group>
            </w:pict>
          </mc:Fallback>
        </mc:AlternateContent>
      </w:r>
      <w:r>
        <w:rPr>
          <w:noProof/>
          <w:color w:val="000000" w:themeColor="text1"/>
          <w:lang w:eastAsia="en-AU"/>
        </w:rPr>
        <mc:AlternateContent>
          <mc:Choice Requires="wps">
            <w:drawing>
              <wp:anchor distT="0" distB="0" distL="114300" distR="114300" simplePos="0" relativeHeight="252212224" behindDoc="0" locked="0" layoutInCell="1" allowOverlap="1" wp14:anchorId="0E60AEE1" wp14:editId="2E21A7BC">
                <wp:simplePos x="0" y="0"/>
                <wp:positionH relativeFrom="column">
                  <wp:posOffset>702149</wp:posOffset>
                </wp:positionH>
                <wp:positionV relativeFrom="paragraph">
                  <wp:posOffset>167166</wp:posOffset>
                </wp:positionV>
                <wp:extent cx="1990725" cy="2714625"/>
                <wp:effectExtent l="0" t="0" r="0" b="0"/>
                <wp:wrapNone/>
                <wp:docPr id="54" name="Circular Arrow 54"/>
                <wp:cNvGraphicFramePr/>
                <a:graphic xmlns:a="http://schemas.openxmlformats.org/drawingml/2006/main">
                  <a:graphicData uri="http://schemas.microsoft.com/office/word/2010/wordprocessingShape">
                    <wps:wsp>
                      <wps:cNvSpPr/>
                      <wps:spPr>
                        <a:xfrm>
                          <a:off x="0" y="0"/>
                          <a:ext cx="1990725" cy="2714625"/>
                        </a:xfrm>
                        <a:prstGeom prst="circularArrow">
                          <a:avLst>
                            <a:gd name="adj1" fmla="val 14185"/>
                            <a:gd name="adj2" fmla="val 1142319"/>
                            <a:gd name="adj3" fmla="val 18966046"/>
                            <a:gd name="adj4" fmla="val 16044134"/>
                            <a:gd name="adj5" fmla="val 17574"/>
                          </a:avLst>
                        </a:prstGeom>
                        <a:solidFill>
                          <a:srgbClr val="044C75"/>
                        </a:soli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29ABA3" id="Circular Arrow 54" o:spid="_x0000_s1026" style="position:absolute;margin-left:55.3pt;margin-top:13.15pt;width:156.75pt;height:213.75pt;z-index:252212224;visibility:visible;mso-wrap-style:square;mso-wrap-distance-left:9pt;mso-wrap-distance-top:0;mso-wrap-distance-right:9pt;mso-wrap-distance-bottom:0;mso-position-horizontal:absolute;mso-position-horizontal-relative:text;mso-position-vertical:absolute;mso-position-vertical-relative:text;v-text-anchor:middle" coordsize="1990725,2714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" path="m943361,211170v295352,-28567,576689,187341,728058,558739l1862258,681484r-248078,389100l1227396,975646r191463,-88714c1318341,619915,1140737,468954,956179,493660l943361,211170xe" fillcolor="#044c75" stroked="f" strokeweight="2pt">
                <v:path arrowok="t" o:connecttype="custom" o:connectlocs="943361,211170;1671419,769909;1862258,681484;1614180,1070584;1227396,975646;1418859,886932;956179,493660;943361,211170" o:connectangles="0,0,0,0,0,0,0,0"/>
              </v:shape>
            </w:pict>
          </mc:Fallback>
        </mc:AlternateContent>
      </w:r>
      <w:r>
        <w:rPr>
          <w:noProof/>
          <w:color w:val="000000" w:themeColor="text1"/>
          <w:lang w:eastAsia="en-AU"/>
        </w:rPr>
        <mc:AlternateContent>
          <mc:Choice Requires="wpg">
            <w:drawing>
              <wp:anchor distT="0" distB="0" distL="114300" distR="114300" simplePos="0" relativeHeight="252213248" behindDoc="0" locked="0" layoutInCell="1" allowOverlap="1" wp14:anchorId="5C2CA166" wp14:editId="3738B88C">
                <wp:simplePos x="0" y="0"/>
                <wp:positionH relativeFrom="column">
                  <wp:posOffset>483074</wp:posOffset>
                </wp:positionH>
                <wp:positionV relativeFrom="paragraph">
                  <wp:posOffset>43341</wp:posOffset>
                </wp:positionV>
                <wp:extent cx="1019175" cy="952500"/>
                <wp:effectExtent l="0" t="0" r="28575" b="19050"/>
                <wp:wrapNone/>
                <wp:docPr id="55" name="Group 55"/>
                <wp:cNvGraphicFramePr/>
                <a:graphic xmlns:a="http://schemas.openxmlformats.org/drawingml/2006/main">
                  <a:graphicData uri="http://schemas.microsoft.com/office/word/2010/wordprocessingGroup">
                    <wpg:wgp>
                      <wpg:cNvGrpSpPr/>
                      <wpg:grpSpPr>
                        <a:xfrm>
                          <a:off x="0" y="0"/>
                          <a:ext cx="1019175" cy="952500"/>
                          <a:chOff x="0" y="0"/>
                          <a:chExt cx="1019175" cy="952500"/>
                        </a:xfrm>
                      </wpg:grpSpPr>
                      <wps:wsp>
                        <wps:cNvPr id="56" name="Oval 56"/>
                        <wps:cNvSpPr/>
                        <wps:spPr>
                          <a:xfrm>
                            <a:off x="0" y="0"/>
                            <a:ext cx="1019175" cy="952500"/>
                          </a:xfrm>
                          <a:prstGeom prst="ellipse">
                            <a:avLst/>
                          </a:prstGeom>
                          <a:ln>
                            <a:solidFill>
                              <a:srgbClr val="044C75"/>
                            </a:solidFill>
                          </a:ln>
                        </wps:spPr>
                        <wps:style>
                          <a:lnRef idx="2">
                            <a:schemeClr val="accent1"/>
                          </a:lnRef>
                          <a:fillRef idx="1">
                            <a:schemeClr val="lt1"/>
                          </a:fillRef>
                          <a:effectRef idx="0">
                            <a:schemeClr val="accent1"/>
                          </a:effectRef>
                          <a:fontRef idx="minor">
                            <a:schemeClr val="dk1"/>
                          </a:fontRef>
                        </wps:style>
                        <wps:txbx>
                          <w:txbxContent>
                            <w:p w14:paraId="0ABFF267" w14:textId="77777777" w:rsidR="00A03A05" w:rsidRPr="00487B5A" w:rsidRDefault="00A03A05" w:rsidP="00C8307B">
                              <w:pPr>
                                <w:jc w:val="center"/>
                                <w:rPr>
                                  <w:color w:val="2487C4"/>
                                  <w:sz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Text Box 2"/>
                        <wps:cNvSpPr txBox="1">
                          <a:spLocks noChangeArrowheads="1"/>
                        </wps:cNvSpPr>
                        <wps:spPr bwMode="auto">
                          <a:xfrm>
                            <a:off x="85725" y="171450"/>
                            <a:ext cx="836295" cy="609600"/>
                          </a:xfrm>
                          <a:prstGeom prst="rect">
                            <a:avLst/>
                          </a:prstGeom>
                          <a:noFill/>
                          <a:ln w="9525">
                            <a:noFill/>
                            <a:miter lim="800000"/>
                            <a:headEnd/>
                            <a:tailEnd/>
                          </a:ln>
                        </wps:spPr>
                        <wps:txbx>
                          <w:txbxContent>
                            <w:p w14:paraId="5559C44B" w14:textId="77777777" w:rsidR="00A03A05" w:rsidRPr="00452A93" w:rsidRDefault="00A03A05" w:rsidP="00C8307B">
                              <w:pPr>
                                <w:jc w:val="center"/>
                                <w:rPr>
                                  <w:color w:val="044C75"/>
                                  <w:sz w:val="18"/>
                                </w:rPr>
                              </w:pPr>
                              <w:r w:rsidRPr="00452A93">
                                <w:rPr>
                                  <w:color w:val="044C75"/>
                                  <w:sz w:val="18"/>
                                </w:rPr>
                                <w:t>received</w:t>
                              </w:r>
                            </w:p>
                            <w:p w14:paraId="6FCC5E44" w14:textId="331229D7" w:rsidR="00A03A05" w:rsidRPr="00452A93" w:rsidRDefault="00A03A05" w:rsidP="00C8307B">
                              <w:pPr>
                                <w:jc w:val="center"/>
                                <w:rPr>
                                  <w:b/>
                                  <w:color w:val="044C75"/>
                                  <w:sz w:val="32"/>
                                </w:rPr>
                              </w:pPr>
                              <w:r w:rsidRPr="00452A93">
                                <w:rPr>
                                  <w:b/>
                                  <w:color w:val="044C75"/>
                                  <w:sz w:val="32"/>
                                </w:rPr>
                                <w:t>2,</w:t>
                              </w:r>
                              <w:r>
                                <w:rPr>
                                  <w:b/>
                                  <w:color w:val="044C75"/>
                                  <w:sz w:val="32"/>
                                </w:rPr>
                                <w:t>719</w:t>
                              </w:r>
                            </w:p>
                            <w:p w14:paraId="0E494706" w14:textId="77777777" w:rsidR="00A03A05" w:rsidRPr="00452A93" w:rsidRDefault="00A03A05" w:rsidP="00C8307B">
                              <w:pPr>
                                <w:jc w:val="center"/>
                                <w:rPr>
                                  <w:color w:val="044C75"/>
                                  <w:sz w:val="18"/>
                                </w:rPr>
                              </w:pPr>
                              <w:r w:rsidRPr="00452A93">
                                <w:rPr>
                                  <w:color w:val="044C75"/>
                                  <w:sz w:val="18"/>
                                </w:rPr>
                                <w:t>complaints</w:t>
                              </w:r>
                            </w:p>
                            <w:p w14:paraId="2C366F72" w14:textId="77777777" w:rsidR="00A03A05" w:rsidRDefault="00A03A05" w:rsidP="00C8307B"/>
                          </w:txbxContent>
                        </wps:txbx>
                        <wps:bodyPr rot="0" vert="horz" wrap="square" lIns="91440" tIns="45720" rIns="91440" bIns="45720" anchor="t" anchorCtr="0">
                          <a:noAutofit/>
                        </wps:bodyPr>
                      </wps:wsp>
                    </wpg:wgp>
                  </a:graphicData>
                </a:graphic>
              </wp:anchor>
            </w:drawing>
          </mc:Choice>
          <mc:Fallback>
            <w:pict>
              <v:group id="Group 55" o:spid="_x0000_s1066" style="position:absolute;margin-left:38.05pt;margin-top:3.4pt;width:80.25pt;height:75pt;z-index:252213248" coordsize="10191,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">
                <v:oval id="Oval 56" o:spid="_x0000_s1067" style="position:absolute;width:10191;height:9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bKjMUA&#10;AADbAAAADwAAAGRycy9kb3ducmV2LnhtbESPQWvCQBSE7wX/w/IEL0U3LVQkuooWhHoopUZBb4/s&#10;M4lm34bd1cR/7xYKHoeZ+YaZLTpTixs5X1lW8DZKQBDnVldcKNhl6+EEhA/IGmvLpOBOHhbz3ssM&#10;U21b/qXbNhQiQtinqKAMoUml9HlJBv3INsTRO1lnMETpCqkdthFuavmeJGNpsOK4UGJDnyXll+3V&#10;KMhWx9f9eXPONj+461zSHr7Xy4NSg363nIII1IVn+L/9pRV8jOHvS/wB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sqMxQAAANsAAAAPAAAAAAAAAAAAAAAAAJgCAABkcnMv&#10;ZG93bnJldi54bWxQSwUGAAAAAAQABAD1AAAAigMAAAAA&#10;" fillcolor="white [3201]" strokecolor="#044c75" strokeweight="2pt">
                  <v:textbox>
                    <w:txbxContent>
                      <w:p w14:paraId="0ABFF267" w14:textId="77777777" w:rsidR="00A03A05" w:rsidRPr="00487B5A" w:rsidRDefault="00A03A05" w:rsidP="00C8307B">
                        <w:pPr>
                          <w:jc w:val="center"/>
                          <w:rPr>
                            <w:color w:val="2487C4"/>
                            <w:sz w:val="18"/>
                          </w:rPr>
                        </w:pPr>
                      </w:p>
                    </w:txbxContent>
                  </v:textbox>
                </v:oval>
                <v:shape id="_x0000_s1068" type="#_x0000_t202" style="position:absolute;left:857;top:1714;width:8363;height:6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0TcMA&#10;AADbAAAADwAAAGRycy9kb3ducmV2LnhtbESPQWvCQBSE7wX/w/KE3uquolbTbESUQk+KVgVvj+wz&#10;Cc2+DdmtSf99Vyj0OMzMN0y66m0t7tT6yrGG8UiBIM6dqbjQcPp8f1mA8AHZYO2YNPyQh1U2eEox&#10;Ma7jA92PoRARwj5BDWUITSKlz0uy6EeuIY7ezbUWQ5RtIU2LXYTbWk6UmkuLFceFEhvalJR/Hb+t&#10;hvPudr1M1b7Y2lnTuV5Jtkup9fOwX7+BCNSH//Bf+8NomL3C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P0TcMAAADbAAAADwAAAAAAAAAAAAAAAACYAgAAZHJzL2Rv&#10;d25yZXYueG1sUEsFBgAAAAAEAAQA9QAAAIgDAAAAAA==&#10;" filled="f" stroked="f">
                  <v:textbox>
                    <w:txbxContent>
                      <w:p w14:paraId="5559C44B" w14:textId="77777777" w:rsidR="00A03A05" w:rsidRPr="00452A93" w:rsidRDefault="00A03A05" w:rsidP="00C8307B">
                        <w:pPr>
                          <w:jc w:val="center"/>
                          <w:rPr>
                            <w:color w:val="044C75"/>
                            <w:sz w:val="18"/>
                          </w:rPr>
                        </w:pPr>
                        <w:r w:rsidRPr="00452A93">
                          <w:rPr>
                            <w:color w:val="044C75"/>
                            <w:sz w:val="18"/>
                          </w:rPr>
                          <w:t>received</w:t>
                        </w:r>
                      </w:p>
                      <w:p w14:paraId="6FCC5E44" w14:textId="331229D7" w:rsidR="00A03A05" w:rsidRPr="00452A93" w:rsidRDefault="00A03A05" w:rsidP="00C8307B">
                        <w:pPr>
                          <w:jc w:val="center"/>
                          <w:rPr>
                            <w:b/>
                            <w:color w:val="044C75"/>
                            <w:sz w:val="32"/>
                          </w:rPr>
                        </w:pPr>
                        <w:r w:rsidRPr="00452A93">
                          <w:rPr>
                            <w:b/>
                            <w:color w:val="044C75"/>
                            <w:sz w:val="32"/>
                          </w:rPr>
                          <w:t>2,</w:t>
                        </w:r>
                        <w:r>
                          <w:rPr>
                            <w:b/>
                            <w:color w:val="044C75"/>
                            <w:sz w:val="32"/>
                          </w:rPr>
                          <w:t>719</w:t>
                        </w:r>
                      </w:p>
                      <w:p w14:paraId="0E494706" w14:textId="77777777" w:rsidR="00A03A05" w:rsidRPr="00452A93" w:rsidRDefault="00A03A05" w:rsidP="00C8307B">
                        <w:pPr>
                          <w:jc w:val="center"/>
                          <w:rPr>
                            <w:color w:val="044C75"/>
                            <w:sz w:val="18"/>
                          </w:rPr>
                        </w:pPr>
                        <w:r w:rsidRPr="00452A93">
                          <w:rPr>
                            <w:color w:val="044C75"/>
                            <w:sz w:val="18"/>
                          </w:rPr>
                          <w:t>complaints</w:t>
                        </w:r>
                      </w:p>
                      <w:p w14:paraId="2C366F72" w14:textId="77777777" w:rsidR="00A03A05" w:rsidRDefault="00A03A05" w:rsidP="00C8307B"/>
                    </w:txbxContent>
                  </v:textbox>
                </v:shape>
              </v:group>
            </w:pict>
          </mc:Fallback>
        </mc:AlternateContent>
      </w:r>
    </w:p>
    <w:p w14:paraId="711A6EF0" w14:textId="77777777" w:rsidR="00C8307B" w:rsidRPr="001F6030" w:rsidRDefault="00C8307B" w:rsidP="009B5461"/>
    <w:p w14:paraId="1E1EDD82" w14:textId="77777777" w:rsidR="00C8307B" w:rsidRDefault="00C8307B" w:rsidP="009B5461">
      <w:pPr>
        <w:spacing w:line="276" w:lineRule="auto"/>
        <w:rPr>
          <w:noProof/>
          <w:color w:val="000000" w:themeColor="text1"/>
          <w:lang w:eastAsia="en-AU"/>
        </w:rPr>
      </w:pPr>
    </w:p>
    <w:p w14:paraId="2124827F" w14:textId="77777777" w:rsidR="00C8307B" w:rsidRDefault="00C8307B" w:rsidP="009B5461">
      <w:pPr>
        <w:spacing w:line="276" w:lineRule="auto"/>
        <w:rPr>
          <w:color w:val="000000" w:themeColor="text1"/>
        </w:rPr>
      </w:pPr>
    </w:p>
    <w:p w14:paraId="10AEF371" w14:textId="77777777" w:rsidR="00C8307B" w:rsidRDefault="00C8307B" w:rsidP="009B5461">
      <w:pPr>
        <w:spacing w:line="276" w:lineRule="auto"/>
        <w:rPr>
          <w:color w:val="000000" w:themeColor="text1"/>
        </w:rPr>
      </w:pPr>
    </w:p>
    <w:p w14:paraId="22BDFD76" w14:textId="77777777" w:rsidR="00C8307B" w:rsidRDefault="00C8307B" w:rsidP="009B5461"/>
    <w:p w14:paraId="6DB14F50" w14:textId="77777777" w:rsidR="00C8307B" w:rsidRDefault="00C8307B" w:rsidP="009B5461"/>
    <w:p w14:paraId="463C99C9" w14:textId="301ADBD5" w:rsidR="00C8307B" w:rsidRDefault="00EB7278" w:rsidP="009B5461">
      <w:r>
        <w:rPr>
          <w:noProof/>
          <w:lang w:eastAsia="en-AU"/>
        </w:rPr>
        <mc:AlternateContent>
          <mc:Choice Requires="wps">
            <w:drawing>
              <wp:anchor distT="0" distB="0" distL="114300" distR="114300" simplePos="0" relativeHeight="252648448" behindDoc="0" locked="0" layoutInCell="1" allowOverlap="1" wp14:anchorId="512D5501" wp14:editId="5C3E82B2">
                <wp:simplePos x="0" y="0"/>
                <wp:positionH relativeFrom="column">
                  <wp:posOffset>353683</wp:posOffset>
                </wp:positionH>
                <wp:positionV relativeFrom="paragraph">
                  <wp:posOffset>76811</wp:posOffset>
                </wp:positionV>
                <wp:extent cx="1548130" cy="538851"/>
                <wp:effectExtent l="0" t="0" r="0" b="0"/>
                <wp:wrapNone/>
                <wp:docPr id="32" name="Down Arrow Callout 33"/>
                <wp:cNvGraphicFramePr/>
                <a:graphic xmlns:a="http://schemas.openxmlformats.org/drawingml/2006/main">
                  <a:graphicData uri="http://schemas.microsoft.com/office/word/2010/wordprocessingShape">
                    <wps:wsp>
                      <wps:cNvSpPr/>
                      <wps:spPr>
                        <a:xfrm>
                          <a:off x="0" y="0"/>
                          <a:ext cx="1548130" cy="538851"/>
                        </a:xfrm>
                        <a:prstGeom prst="downArrowCallout">
                          <a:avLst/>
                        </a:prstGeom>
                        <a:solidFill>
                          <a:srgbClr val="044C75"/>
                        </a:soli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Down Arrow Callout 33" o:spid="_x0000_s1026" type="#_x0000_t80" style="position:absolute;margin-left:27.85pt;margin-top:6.05pt;width:121.9pt;height:42.45pt;z-index:25264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" adj="14035,8920,16200,9860" fillcolor="#044c75" stroked="f" strokeweight="2pt"/>
            </w:pict>
          </mc:Fallback>
        </mc:AlternateContent>
      </w:r>
      <w:r>
        <w:rPr>
          <w:noProof/>
          <w:lang w:eastAsia="en-AU"/>
        </w:rPr>
        <mc:AlternateContent>
          <mc:Choice Requires="wps">
            <w:drawing>
              <wp:anchor distT="0" distB="0" distL="114300" distR="114300" simplePos="0" relativeHeight="252646400" behindDoc="0" locked="0" layoutInCell="1" allowOverlap="1" wp14:anchorId="1F56CD4A" wp14:editId="117035A6">
                <wp:simplePos x="0" y="0"/>
                <wp:positionH relativeFrom="column">
                  <wp:posOffset>1009015</wp:posOffset>
                </wp:positionH>
                <wp:positionV relativeFrom="paragraph">
                  <wp:posOffset>76200</wp:posOffset>
                </wp:positionV>
                <wp:extent cx="3577590" cy="538480"/>
                <wp:effectExtent l="0" t="0" r="3810" b="0"/>
                <wp:wrapNone/>
                <wp:docPr id="26" name="Down Arrow Callout 30"/>
                <wp:cNvGraphicFramePr/>
                <a:graphic xmlns:a="http://schemas.openxmlformats.org/drawingml/2006/main">
                  <a:graphicData uri="http://schemas.microsoft.com/office/word/2010/wordprocessingShape">
                    <wps:wsp>
                      <wps:cNvSpPr/>
                      <wps:spPr>
                        <a:xfrm>
                          <a:off x="0" y="0"/>
                          <a:ext cx="3577590" cy="538480"/>
                        </a:xfrm>
                        <a:prstGeom prst="downArrowCallout">
                          <a:avLst/>
                        </a:prstGeom>
                        <a:solidFill>
                          <a:srgbClr val="044C75"/>
                        </a:soli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Callout 30" o:spid="_x0000_s1026" type="#_x0000_t80" style="position:absolute;margin-left:79.45pt;margin-top:6pt;width:281.7pt;height:42.4pt;z-index:25264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" adj="14035,9987,16200,10394" fillcolor="#044c75" stroked="f" strokeweight="2pt"/>
            </w:pict>
          </mc:Fallback>
        </mc:AlternateContent>
      </w:r>
      <w:r w:rsidR="00955B77">
        <w:rPr>
          <w:noProof/>
          <w:lang w:eastAsia="en-AU"/>
        </w:rPr>
        <mc:AlternateContent>
          <mc:Choice Requires="wps">
            <w:drawing>
              <wp:anchor distT="0" distB="0" distL="114300" distR="114300" simplePos="0" relativeHeight="252647424" behindDoc="0" locked="0" layoutInCell="1" allowOverlap="1" wp14:anchorId="23231995" wp14:editId="0BAB6425">
                <wp:simplePos x="0" y="0"/>
                <wp:positionH relativeFrom="column">
                  <wp:posOffset>3757930</wp:posOffset>
                </wp:positionH>
                <wp:positionV relativeFrom="paragraph">
                  <wp:posOffset>81280</wp:posOffset>
                </wp:positionV>
                <wp:extent cx="1515745" cy="530225"/>
                <wp:effectExtent l="0" t="0" r="8255" b="3175"/>
                <wp:wrapNone/>
                <wp:docPr id="28" name="Down Arrow Callout 31"/>
                <wp:cNvGraphicFramePr/>
                <a:graphic xmlns:a="http://schemas.openxmlformats.org/drawingml/2006/main">
                  <a:graphicData uri="http://schemas.microsoft.com/office/word/2010/wordprocessingShape">
                    <wps:wsp>
                      <wps:cNvSpPr/>
                      <wps:spPr>
                        <a:xfrm>
                          <a:off x="0" y="0"/>
                          <a:ext cx="1515745" cy="530225"/>
                        </a:xfrm>
                        <a:prstGeom prst="downArrowCallout">
                          <a:avLst/>
                        </a:prstGeom>
                        <a:solidFill>
                          <a:srgbClr val="044C75"/>
                        </a:solidFill>
                        <a:ln>
                          <a:no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Callout 31" o:spid="_x0000_s1026" type="#_x0000_t80" style="position:absolute;margin-left:295.9pt;margin-top:6.4pt;width:119.35pt;height:41.75pt;z-index:25264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" adj="14035,8911,16200,9856" fillcolor="#044c75" stroked="f" strokeweight="2pt"/>
            </w:pict>
          </mc:Fallback>
        </mc:AlternateContent>
      </w:r>
    </w:p>
    <w:p w14:paraId="1DE49940" w14:textId="77777777" w:rsidR="00C8307B" w:rsidRDefault="00C8307B" w:rsidP="00892AC6"/>
    <w:p w14:paraId="65D7EEEF" w14:textId="77777777" w:rsidR="00C8307B" w:rsidRDefault="00C8307B" w:rsidP="009B5461"/>
    <w:p w14:paraId="27F639FE" w14:textId="6CA760F1" w:rsidR="00C8307B" w:rsidRDefault="004A7D5D" w:rsidP="009B5461">
      <w:r>
        <w:rPr>
          <w:noProof/>
          <w:lang w:eastAsia="en-AU"/>
        </w:rPr>
        <mc:AlternateContent>
          <mc:Choice Requires="wps">
            <w:drawing>
              <wp:anchor distT="0" distB="0" distL="114300" distR="114300" simplePos="0" relativeHeight="252649472" behindDoc="0" locked="0" layoutInCell="1" allowOverlap="1" wp14:anchorId="2DA74780" wp14:editId="39547F62">
                <wp:simplePos x="0" y="0"/>
                <wp:positionH relativeFrom="column">
                  <wp:posOffset>1947174</wp:posOffset>
                </wp:positionH>
                <wp:positionV relativeFrom="paragraph">
                  <wp:posOffset>146685</wp:posOffset>
                </wp:positionV>
                <wp:extent cx="1680210" cy="1224915"/>
                <wp:effectExtent l="0" t="0" r="0" b="0"/>
                <wp:wrapNone/>
                <wp:docPr id="35" name="Rounded Rectangle 35"/>
                <wp:cNvGraphicFramePr/>
                <a:graphic xmlns:a="http://schemas.openxmlformats.org/drawingml/2006/main">
                  <a:graphicData uri="http://schemas.microsoft.com/office/word/2010/wordprocessingShape">
                    <wps:wsp>
                      <wps:cNvSpPr/>
                      <wps:spPr>
                        <a:xfrm>
                          <a:off x="0" y="0"/>
                          <a:ext cx="1680210" cy="1224915"/>
                        </a:xfrm>
                        <a:prstGeom prst="roundRect">
                          <a:avLst/>
                        </a:prstGeom>
                        <a:solidFill>
                          <a:srgbClr val="2487C4">
                            <a:alpha val="33000"/>
                          </a:srgbClr>
                        </a:solidFill>
                        <a:ln>
                          <a:noFill/>
                        </a:ln>
                      </wps:spPr>
                      <wps:style>
                        <a:lnRef idx="2">
                          <a:schemeClr val="accent1"/>
                        </a:lnRef>
                        <a:fillRef idx="1">
                          <a:schemeClr val="lt1"/>
                        </a:fillRef>
                        <a:effectRef idx="0">
                          <a:schemeClr val="accent1"/>
                        </a:effectRef>
                        <a:fontRef idx="minor">
                          <a:schemeClr val="dk1"/>
                        </a:fontRef>
                      </wps:style>
                      <wps:txbx>
                        <w:txbxContent>
                          <w:p w14:paraId="0D861CBA" w14:textId="77777777" w:rsidR="00A03A05" w:rsidRPr="00FC4141" w:rsidRDefault="00A03A05" w:rsidP="00892AC6">
                            <w:pPr>
                              <w:pStyle w:val="Featurebodytext-NightblueFeaturebodytext"/>
                              <w:spacing w:before="0" w:line="240" w:lineRule="auto"/>
                              <w:jc w:val="center"/>
                              <w:rPr>
                                <w:rFonts w:ascii="Arial" w:hAnsi="Arial" w:cs="Arial"/>
                                <w:color w:val="044C75"/>
                                <w:sz w:val="22"/>
                                <w:szCs w:val="22"/>
                              </w:rPr>
                            </w:pPr>
                            <w:r>
                              <w:rPr>
                                <w:rFonts w:ascii="Arial" w:hAnsi="Arial" w:cs="Arial"/>
                                <w:b/>
                                <w:color w:val="044C75"/>
                                <w:sz w:val="22"/>
                                <w:szCs w:val="22"/>
                              </w:rPr>
                              <w:t>124</w:t>
                            </w:r>
                            <w:r w:rsidRPr="00FC4141">
                              <w:rPr>
                                <w:rFonts w:ascii="Arial" w:hAnsi="Arial" w:cs="Arial"/>
                                <w:b/>
                                <w:color w:val="044C75"/>
                                <w:sz w:val="22"/>
                                <w:szCs w:val="22"/>
                              </w:rPr>
                              <w:t xml:space="preserve"> </w:t>
                            </w:r>
                            <w:r w:rsidRPr="00FC4141">
                              <w:rPr>
                                <w:rFonts w:ascii="Arial" w:hAnsi="Arial" w:cs="Arial"/>
                                <w:color w:val="044C75"/>
                                <w:sz w:val="22"/>
                                <w:szCs w:val="22"/>
                              </w:rPr>
                              <w:t>of th</w:t>
                            </w:r>
                            <w:r>
                              <w:rPr>
                                <w:rFonts w:ascii="Arial" w:hAnsi="Arial" w:cs="Arial"/>
                                <w:color w:val="044C75"/>
                                <w:sz w:val="22"/>
                                <w:szCs w:val="22"/>
                              </w:rPr>
                              <w:t>e complaints received prior to</w:t>
                            </w:r>
                            <w:r>
                              <w:rPr>
                                <w:rFonts w:ascii="Arial" w:hAnsi="Arial" w:cs="Arial"/>
                                <w:color w:val="044C75"/>
                                <w:sz w:val="22"/>
                                <w:szCs w:val="22"/>
                              </w:rPr>
                              <w:br/>
                            </w:r>
                            <w:r w:rsidRPr="00FC4141">
                              <w:rPr>
                                <w:rFonts w:ascii="Arial" w:hAnsi="Arial" w:cs="Arial"/>
                                <w:color w:val="044C75"/>
                                <w:sz w:val="22"/>
                                <w:szCs w:val="22"/>
                              </w:rPr>
                              <w:t>2017-18 were closed during the 2017-18 reporting period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5" o:spid="_x0000_s1069" style="position:absolute;margin-left:153.3pt;margin-top:11.55pt;width:132.3pt;height:96.45pt;z-index:25264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" fillcolor="#2487c4" stroked="f" strokeweight="2pt">
                <v:fill opacity="21588f"/>
                <v:textbox>
                  <w:txbxContent>
                    <w:p w14:paraId="0D861CBA" w14:textId="77777777" w:rsidR="00A03A05" w:rsidRPr="00FC4141" w:rsidRDefault="00A03A05" w:rsidP="00892AC6">
                      <w:pPr>
                        <w:pStyle w:val="Featurebodytext-NightblueFeaturebodytext"/>
                        <w:spacing w:before="0" w:line="240" w:lineRule="auto"/>
                        <w:jc w:val="center"/>
                        <w:rPr>
                          <w:rFonts w:ascii="Arial" w:hAnsi="Arial" w:cs="Arial"/>
                          <w:color w:val="044C75"/>
                          <w:sz w:val="22"/>
                          <w:szCs w:val="22"/>
                        </w:rPr>
                      </w:pPr>
                      <w:r>
                        <w:rPr>
                          <w:rFonts w:ascii="Arial" w:hAnsi="Arial" w:cs="Arial"/>
                          <w:b/>
                          <w:color w:val="044C75"/>
                          <w:sz w:val="22"/>
                          <w:szCs w:val="22"/>
                        </w:rPr>
                        <w:t>124</w:t>
                      </w:r>
                      <w:r w:rsidRPr="00FC4141">
                        <w:rPr>
                          <w:rFonts w:ascii="Arial" w:hAnsi="Arial" w:cs="Arial"/>
                          <w:b/>
                          <w:color w:val="044C75"/>
                          <w:sz w:val="22"/>
                          <w:szCs w:val="22"/>
                        </w:rPr>
                        <w:t xml:space="preserve"> </w:t>
                      </w:r>
                      <w:r w:rsidRPr="00FC4141">
                        <w:rPr>
                          <w:rFonts w:ascii="Arial" w:hAnsi="Arial" w:cs="Arial"/>
                          <w:color w:val="044C75"/>
                          <w:sz w:val="22"/>
                          <w:szCs w:val="22"/>
                        </w:rPr>
                        <w:t>of th</w:t>
                      </w:r>
                      <w:r>
                        <w:rPr>
                          <w:rFonts w:ascii="Arial" w:hAnsi="Arial" w:cs="Arial"/>
                          <w:color w:val="044C75"/>
                          <w:sz w:val="22"/>
                          <w:szCs w:val="22"/>
                        </w:rPr>
                        <w:t>e complaints received prior to</w:t>
                      </w:r>
                      <w:r>
                        <w:rPr>
                          <w:rFonts w:ascii="Arial" w:hAnsi="Arial" w:cs="Arial"/>
                          <w:color w:val="044C75"/>
                          <w:sz w:val="22"/>
                          <w:szCs w:val="22"/>
                        </w:rPr>
                        <w:br/>
                      </w:r>
                      <w:r w:rsidRPr="00FC4141">
                        <w:rPr>
                          <w:rFonts w:ascii="Arial" w:hAnsi="Arial" w:cs="Arial"/>
                          <w:color w:val="044C75"/>
                          <w:sz w:val="22"/>
                          <w:szCs w:val="22"/>
                        </w:rPr>
                        <w:t>2017-18 were closed during the 2017-18 reporting period</w:t>
                      </w:r>
                    </w:p>
                  </w:txbxContent>
                </v:textbox>
              </v:roundrect>
            </w:pict>
          </mc:Fallback>
        </mc:AlternateContent>
      </w:r>
      <w:r>
        <w:rPr>
          <w:noProof/>
          <w:lang w:eastAsia="en-AU"/>
        </w:rPr>
        <mc:AlternateContent>
          <mc:Choice Requires="wps">
            <w:drawing>
              <wp:anchor distT="0" distB="0" distL="114300" distR="114300" simplePos="0" relativeHeight="252651520" behindDoc="0" locked="0" layoutInCell="1" allowOverlap="1" wp14:anchorId="05C8B823" wp14:editId="4483AAAE">
                <wp:simplePos x="0" y="0"/>
                <wp:positionH relativeFrom="column">
                  <wp:posOffset>3709358</wp:posOffset>
                </wp:positionH>
                <wp:positionV relativeFrom="paragraph">
                  <wp:posOffset>147619</wp:posOffset>
                </wp:positionV>
                <wp:extent cx="1545590" cy="1224915"/>
                <wp:effectExtent l="0" t="0" r="0" b="0"/>
                <wp:wrapNone/>
                <wp:docPr id="45" name="Rounded Rectangle 45"/>
                <wp:cNvGraphicFramePr/>
                <a:graphic xmlns:a="http://schemas.openxmlformats.org/drawingml/2006/main">
                  <a:graphicData uri="http://schemas.microsoft.com/office/word/2010/wordprocessingShape">
                    <wps:wsp>
                      <wps:cNvSpPr/>
                      <wps:spPr>
                        <a:xfrm>
                          <a:off x="0" y="0"/>
                          <a:ext cx="1545590" cy="1224915"/>
                        </a:xfrm>
                        <a:prstGeom prst="roundRect">
                          <a:avLst/>
                        </a:prstGeom>
                        <a:solidFill>
                          <a:srgbClr val="2487C4">
                            <a:alpha val="33000"/>
                          </a:srgbClr>
                        </a:solidFill>
                        <a:ln>
                          <a:noFill/>
                        </a:ln>
                      </wps:spPr>
                      <wps:style>
                        <a:lnRef idx="2">
                          <a:schemeClr val="accent1"/>
                        </a:lnRef>
                        <a:fillRef idx="1">
                          <a:schemeClr val="lt1"/>
                        </a:fillRef>
                        <a:effectRef idx="0">
                          <a:schemeClr val="accent1"/>
                        </a:effectRef>
                        <a:fontRef idx="minor">
                          <a:schemeClr val="dk1"/>
                        </a:fontRef>
                      </wps:style>
                      <wps:txbx>
                        <w:txbxContent>
                          <w:p w14:paraId="0393212A" w14:textId="77777777" w:rsidR="00A03A05" w:rsidRPr="00FC4141" w:rsidRDefault="00A03A05" w:rsidP="00892AC6">
                            <w:pPr>
                              <w:pStyle w:val="Featurebodytext-NightblueFeaturebodytext"/>
                              <w:spacing w:before="0" w:line="240" w:lineRule="auto"/>
                              <w:jc w:val="center"/>
                              <w:rPr>
                                <w:color w:val="044C75"/>
                                <w:sz w:val="22"/>
                                <w:szCs w:val="22"/>
                              </w:rPr>
                            </w:pPr>
                            <w:r>
                              <w:rPr>
                                <w:rFonts w:ascii="Arial" w:hAnsi="Arial" w:cs="Arial"/>
                                <w:b/>
                                <w:color w:val="044C75"/>
                                <w:sz w:val="22"/>
                                <w:szCs w:val="22"/>
                              </w:rPr>
                              <w:t>68</w:t>
                            </w:r>
                            <w:r w:rsidRPr="00FC4141">
                              <w:rPr>
                                <w:rFonts w:ascii="Arial" w:hAnsi="Arial" w:cs="Arial"/>
                                <w:color w:val="044C75"/>
                                <w:sz w:val="22"/>
                                <w:szCs w:val="22"/>
                              </w:rPr>
                              <w:t xml:space="preserve"> complaints were received in 2017-18 and will continue to be managed in 2018-19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5" o:spid="_x0000_s1070" style="position:absolute;margin-left:292.1pt;margin-top:11.6pt;width:121.7pt;height:96.45pt;z-index:25265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" fillcolor="#2487c4" stroked="f" strokeweight="2pt">
                <v:fill opacity="21588f"/>
                <v:textbox>
                  <w:txbxContent>
                    <w:p w14:paraId="0393212A" w14:textId="77777777" w:rsidR="00A03A05" w:rsidRPr="00FC4141" w:rsidRDefault="00A03A05" w:rsidP="00892AC6">
                      <w:pPr>
                        <w:pStyle w:val="Featurebodytext-NightblueFeaturebodytext"/>
                        <w:spacing w:before="0" w:line="240" w:lineRule="auto"/>
                        <w:jc w:val="center"/>
                        <w:rPr>
                          <w:color w:val="044C75"/>
                          <w:sz w:val="22"/>
                          <w:szCs w:val="22"/>
                        </w:rPr>
                      </w:pPr>
                      <w:r>
                        <w:rPr>
                          <w:rFonts w:ascii="Arial" w:hAnsi="Arial" w:cs="Arial"/>
                          <w:b/>
                          <w:color w:val="044C75"/>
                          <w:sz w:val="22"/>
                          <w:szCs w:val="22"/>
                        </w:rPr>
                        <w:t>68</w:t>
                      </w:r>
                      <w:r w:rsidRPr="00FC4141">
                        <w:rPr>
                          <w:rFonts w:ascii="Arial" w:hAnsi="Arial" w:cs="Arial"/>
                          <w:color w:val="044C75"/>
                          <w:sz w:val="22"/>
                          <w:szCs w:val="22"/>
                        </w:rPr>
                        <w:t xml:space="preserve"> complaints were received in 2017-18 and will continue to be managed in 2018-19</w:t>
                      </w:r>
                    </w:p>
                  </w:txbxContent>
                </v:textbox>
              </v:roundrect>
            </w:pict>
          </mc:Fallback>
        </mc:AlternateContent>
      </w:r>
      <w:r>
        <w:rPr>
          <w:noProof/>
          <w:lang w:eastAsia="en-AU"/>
        </w:rPr>
        <mc:AlternateContent>
          <mc:Choice Requires="wps">
            <w:drawing>
              <wp:anchor distT="0" distB="0" distL="114300" distR="114300" simplePos="0" relativeHeight="252650496" behindDoc="0" locked="0" layoutInCell="1" allowOverlap="1" wp14:anchorId="7F20174A" wp14:editId="6C3EE33A">
                <wp:simplePos x="0" y="0"/>
                <wp:positionH relativeFrom="column">
                  <wp:posOffset>310551</wp:posOffset>
                </wp:positionH>
                <wp:positionV relativeFrom="paragraph">
                  <wp:posOffset>147619</wp:posOffset>
                </wp:positionV>
                <wp:extent cx="1555750" cy="1224915"/>
                <wp:effectExtent l="0" t="0" r="6350" b="0"/>
                <wp:wrapNone/>
                <wp:docPr id="37" name="Rounded Rectangle 37"/>
                <wp:cNvGraphicFramePr/>
                <a:graphic xmlns:a="http://schemas.openxmlformats.org/drawingml/2006/main">
                  <a:graphicData uri="http://schemas.microsoft.com/office/word/2010/wordprocessingShape">
                    <wps:wsp>
                      <wps:cNvSpPr/>
                      <wps:spPr>
                        <a:xfrm>
                          <a:off x="0" y="0"/>
                          <a:ext cx="1555750" cy="1224915"/>
                        </a:xfrm>
                        <a:prstGeom prst="roundRect">
                          <a:avLst/>
                        </a:prstGeom>
                        <a:solidFill>
                          <a:srgbClr val="2487C4">
                            <a:alpha val="33000"/>
                          </a:srgbClr>
                        </a:solidFill>
                        <a:ln>
                          <a:noFill/>
                        </a:ln>
                      </wps:spPr>
                      <wps:style>
                        <a:lnRef idx="2">
                          <a:schemeClr val="accent1"/>
                        </a:lnRef>
                        <a:fillRef idx="1">
                          <a:schemeClr val="lt1"/>
                        </a:fillRef>
                        <a:effectRef idx="0">
                          <a:schemeClr val="accent1"/>
                        </a:effectRef>
                        <a:fontRef idx="minor">
                          <a:schemeClr val="dk1"/>
                        </a:fontRef>
                      </wps:style>
                      <wps:txbx>
                        <w:txbxContent>
                          <w:p w14:paraId="7A7622B0" w14:textId="77777777" w:rsidR="00A03A05" w:rsidRPr="00FC4141" w:rsidRDefault="00A03A05" w:rsidP="00892AC6">
                            <w:pPr>
                              <w:pStyle w:val="Featurebodytext-NightblueFeaturebodytext"/>
                              <w:spacing w:before="0" w:line="240" w:lineRule="auto"/>
                              <w:jc w:val="center"/>
                              <w:rPr>
                                <w:rFonts w:ascii="Arial" w:hAnsi="Arial" w:cs="Arial"/>
                                <w:b/>
                                <w:color w:val="044C75"/>
                                <w:sz w:val="22"/>
                                <w:szCs w:val="22"/>
                              </w:rPr>
                            </w:pPr>
                            <w:r>
                              <w:rPr>
                                <w:rFonts w:ascii="Arial" w:hAnsi="Arial" w:cs="Arial"/>
                                <w:b/>
                                <w:color w:val="044C75"/>
                                <w:sz w:val="22"/>
                                <w:szCs w:val="22"/>
                              </w:rPr>
                              <w:t>2,204</w:t>
                            </w:r>
                            <w:r w:rsidRPr="00FC4141">
                              <w:rPr>
                                <w:rFonts w:ascii="Arial" w:hAnsi="Arial" w:cs="Arial"/>
                                <w:b/>
                                <w:color w:val="044C75"/>
                                <w:sz w:val="22"/>
                                <w:szCs w:val="22"/>
                              </w:rPr>
                              <w:t xml:space="preserve"> </w:t>
                            </w:r>
                            <w:r w:rsidRPr="00FC4141">
                              <w:rPr>
                                <w:rFonts w:ascii="Arial" w:hAnsi="Arial" w:cs="Arial"/>
                                <w:color w:val="044C75"/>
                                <w:sz w:val="22"/>
                                <w:szCs w:val="22"/>
                              </w:rPr>
                              <w:t>complaints were both received and closed during 2017-18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7" o:spid="_x0000_s1071" style="position:absolute;margin-left:24.45pt;margin-top:11.6pt;width:122.5pt;height:96.45pt;z-index:25265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" fillcolor="#2487c4" stroked="f" strokeweight="2pt">
                <v:fill opacity="21588f"/>
                <v:textbox>
                  <w:txbxContent>
                    <w:p w14:paraId="7A7622B0" w14:textId="77777777" w:rsidR="00A03A05" w:rsidRPr="00FC4141" w:rsidRDefault="00A03A05" w:rsidP="00892AC6">
                      <w:pPr>
                        <w:pStyle w:val="Featurebodytext-NightblueFeaturebodytext"/>
                        <w:spacing w:before="0" w:line="240" w:lineRule="auto"/>
                        <w:jc w:val="center"/>
                        <w:rPr>
                          <w:rFonts w:ascii="Arial" w:hAnsi="Arial" w:cs="Arial"/>
                          <w:b/>
                          <w:color w:val="044C75"/>
                          <w:sz w:val="22"/>
                          <w:szCs w:val="22"/>
                        </w:rPr>
                      </w:pPr>
                      <w:r>
                        <w:rPr>
                          <w:rFonts w:ascii="Arial" w:hAnsi="Arial" w:cs="Arial"/>
                          <w:b/>
                          <w:color w:val="044C75"/>
                          <w:sz w:val="22"/>
                          <w:szCs w:val="22"/>
                        </w:rPr>
                        <w:t>2,204</w:t>
                      </w:r>
                      <w:r w:rsidRPr="00FC4141">
                        <w:rPr>
                          <w:rFonts w:ascii="Arial" w:hAnsi="Arial" w:cs="Arial"/>
                          <w:b/>
                          <w:color w:val="044C75"/>
                          <w:sz w:val="22"/>
                          <w:szCs w:val="22"/>
                        </w:rPr>
                        <w:t xml:space="preserve"> </w:t>
                      </w:r>
                      <w:r w:rsidRPr="00FC4141">
                        <w:rPr>
                          <w:rFonts w:ascii="Arial" w:hAnsi="Arial" w:cs="Arial"/>
                          <w:color w:val="044C75"/>
                          <w:sz w:val="22"/>
                          <w:szCs w:val="22"/>
                        </w:rPr>
                        <w:t>complaints were both received and closed during 2017-18</w:t>
                      </w:r>
                    </w:p>
                  </w:txbxContent>
                </v:textbox>
              </v:roundrect>
            </w:pict>
          </mc:Fallback>
        </mc:AlternateContent>
      </w:r>
    </w:p>
    <w:p w14:paraId="2C1B7FB8" w14:textId="51F4A57E" w:rsidR="00892AC6" w:rsidRDefault="00892AC6" w:rsidP="00892AC6">
      <w:pPr>
        <w:spacing w:line="276" w:lineRule="auto"/>
        <w:rPr>
          <w:color w:val="000000" w:themeColor="text1"/>
        </w:rPr>
      </w:pPr>
    </w:p>
    <w:p w14:paraId="35FF8365" w14:textId="77777777" w:rsidR="00892AC6" w:rsidRPr="001F6030" w:rsidRDefault="00892AC6" w:rsidP="00892AC6"/>
    <w:p w14:paraId="26609375" w14:textId="77777777" w:rsidR="00892AC6" w:rsidRDefault="00892AC6" w:rsidP="00892AC6">
      <w:pPr>
        <w:spacing w:line="276" w:lineRule="auto"/>
        <w:rPr>
          <w:noProof/>
          <w:color w:val="000000" w:themeColor="text1"/>
          <w:lang w:eastAsia="en-AU"/>
        </w:rPr>
      </w:pPr>
    </w:p>
    <w:p w14:paraId="6205BA35" w14:textId="77777777" w:rsidR="00892AC6" w:rsidRDefault="00892AC6" w:rsidP="00892AC6">
      <w:pPr>
        <w:spacing w:line="276" w:lineRule="auto"/>
        <w:rPr>
          <w:color w:val="000000" w:themeColor="text1"/>
        </w:rPr>
      </w:pPr>
    </w:p>
    <w:p w14:paraId="10C560C5" w14:textId="77777777" w:rsidR="00892AC6" w:rsidRDefault="00892AC6" w:rsidP="00892AC6">
      <w:pPr>
        <w:spacing w:line="276" w:lineRule="auto"/>
        <w:rPr>
          <w:color w:val="000000" w:themeColor="text1"/>
        </w:rPr>
      </w:pPr>
    </w:p>
    <w:p w14:paraId="7F1E0D0D" w14:textId="77777777" w:rsidR="00892AC6" w:rsidRDefault="00892AC6" w:rsidP="00892AC6">
      <w:r>
        <w:rPr>
          <w:noProof/>
          <w:lang w:eastAsia="en-AU"/>
        </w:rPr>
        <mc:AlternateContent>
          <mc:Choice Requires="wps">
            <w:drawing>
              <wp:anchor distT="0" distB="0" distL="114300" distR="114300" simplePos="0" relativeHeight="252645376" behindDoc="0" locked="0" layoutInCell="1" allowOverlap="1" wp14:anchorId="5CDE26F1" wp14:editId="69A22D94">
                <wp:simplePos x="0" y="0"/>
                <wp:positionH relativeFrom="column">
                  <wp:posOffset>432435</wp:posOffset>
                </wp:positionH>
                <wp:positionV relativeFrom="paragraph">
                  <wp:posOffset>152136</wp:posOffset>
                </wp:positionV>
                <wp:extent cx="4777740" cy="371475"/>
                <wp:effectExtent l="0" t="0" r="0" b="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7740" cy="371475"/>
                        </a:xfrm>
                        <a:prstGeom prst="rect">
                          <a:avLst/>
                        </a:prstGeom>
                        <a:noFill/>
                        <a:ln w="9525">
                          <a:noFill/>
                          <a:miter lim="800000"/>
                          <a:headEnd/>
                          <a:tailEnd/>
                        </a:ln>
                      </wps:spPr>
                      <wps:txbx>
                        <w:txbxContent>
                          <w:p w14:paraId="15278654" w14:textId="77777777" w:rsidR="00A03A05" w:rsidRDefault="00A03A05" w:rsidP="00892AC6">
                            <w:r>
                              <w:t>A breakdown of the types of complaints received is shown below:</w:t>
                            </w:r>
                          </w:p>
                        </w:txbxContent>
                      </wps:txbx>
                      <wps:bodyPr rot="0" vert="horz" wrap="square" lIns="91440" tIns="45720" rIns="91440" bIns="45720" anchor="ctr" anchorCtr="0">
                        <a:noAutofit/>
                      </wps:bodyPr>
                    </wps:wsp>
                  </a:graphicData>
                </a:graphic>
              </wp:anchor>
            </w:drawing>
          </mc:Choice>
          <mc:Fallback>
            <w:pict>
              <v:shape id="_x0000_s1072" type="#_x0000_t202" style="position:absolute;margin-left:34.05pt;margin-top:12pt;width:376.2pt;height:29.25pt;z-index:252645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" filled="f" stroked="f">
                <v:textbox>
                  <w:txbxContent>
                    <w:p w14:paraId="15278654" w14:textId="77777777" w:rsidR="00A03A05" w:rsidRDefault="00A03A05" w:rsidP="00892AC6">
                      <w:r>
                        <w:t>A breakdown of the types of complaints received is shown below:</w:t>
                      </w:r>
                    </w:p>
                  </w:txbxContent>
                </v:textbox>
              </v:shape>
            </w:pict>
          </mc:Fallback>
        </mc:AlternateContent>
      </w:r>
    </w:p>
    <w:p w14:paraId="3EE7A15C" w14:textId="77777777" w:rsidR="00892AC6" w:rsidRDefault="00892AC6" w:rsidP="00892AC6"/>
    <w:p w14:paraId="57262727" w14:textId="77777777" w:rsidR="00892AC6" w:rsidRDefault="00892AC6" w:rsidP="00892AC6">
      <w:r>
        <w:rPr>
          <w:noProof/>
          <w:lang w:eastAsia="en-AU"/>
        </w:rPr>
        <mc:AlternateContent>
          <mc:Choice Requires="wps">
            <w:drawing>
              <wp:anchor distT="0" distB="0" distL="114300" distR="114300" simplePos="0" relativeHeight="252653568" behindDoc="0" locked="0" layoutInCell="1" allowOverlap="1" wp14:anchorId="29B5A227" wp14:editId="381A8D82">
                <wp:simplePos x="0" y="0"/>
                <wp:positionH relativeFrom="column">
                  <wp:posOffset>1539875</wp:posOffset>
                </wp:positionH>
                <wp:positionV relativeFrom="paragraph">
                  <wp:posOffset>174625</wp:posOffset>
                </wp:positionV>
                <wp:extent cx="1283335" cy="958215"/>
                <wp:effectExtent l="0" t="0" r="0" b="0"/>
                <wp:wrapNone/>
                <wp:docPr id="47" name="Rounded Rectangle 47"/>
                <wp:cNvGraphicFramePr/>
                <a:graphic xmlns:a="http://schemas.openxmlformats.org/drawingml/2006/main">
                  <a:graphicData uri="http://schemas.microsoft.com/office/word/2010/wordprocessingShape">
                    <wps:wsp>
                      <wps:cNvSpPr/>
                      <wps:spPr>
                        <a:xfrm>
                          <a:off x="0" y="0"/>
                          <a:ext cx="1283335" cy="958215"/>
                        </a:xfrm>
                        <a:prstGeom prst="roundRect">
                          <a:avLst/>
                        </a:prstGeom>
                        <a:solidFill>
                          <a:srgbClr val="044C75">
                            <a:alpha val="21000"/>
                          </a:srgbClr>
                        </a:solidFill>
                        <a:ln>
                          <a:noFill/>
                        </a:ln>
                      </wps:spPr>
                      <wps:style>
                        <a:lnRef idx="2">
                          <a:schemeClr val="accent1"/>
                        </a:lnRef>
                        <a:fillRef idx="1">
                          <a:schemeClr val="lt1"/>
                        </a:fillRef>
                        <a:effectRef idx="0">
                          <a:schemeClr val="accent1"/>
                        </a:effectRef>
                        <a:fontRef idx="minor">
                          <a:schemeClr val="dk1"/>
                        </a:fontRef>
                      </wps:style>
                      <wps:txbx>
                        <w:txbxContent>
                          <w:p w14:paraId="15DF730C"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Disability Service</w:t>
                            </w:r>
                          </w:p>
                          <w:p w14:paraId="384D4BDB"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Complaints</w:t>
                            </w:r>
                          </w:p>
                          <w:p w14:paraId="0863E8C1" w14:textId="77777777" w:rsidR="00A03A05" w:rsidRPr="00FC4141" w:rsidRDefault="00A03A05" w:rsidP="00892AC6">
                            <w:pPr>
                              <w:pStyle w:val="Featurebodytext-NightblueFeaturebodytext"/>
                              <w:spacing w:before="0" w:line="240" w:lineRule="auto"/>
                              <w:jc w:val="center"/>
                              <w:rPr>
                                <w:color w:val="auto"/>
                                <w:sz w:val="22"/>
                                <w:szCs w:val="22"/>
                              </w:rPr>
                            </w:pPr>
                            <w:r>
                              <w:rPr>
                                <w:rFonts w:ascii="Arial" w:hAnsi="Arial" w:cs="Arial"/>
                                <w:b/>
                                <w:bCs/>
                                <w:color w:val="auto"/>
                                <w:sz w:val="22"/>
                                <w:szCs w:val="22"/>
                              </w:rPr>
                              <w:t>3</w:t>
                            </w:r>
                            <w:r w:rsidRPr="00FC4141">
                              <w:rPr>
                                <w:rFonts w:ascii="Arial" w:hAnsi="Arial" w:cs="Arial"/>
                                <w:b/>
                                <w:bCs/>
                                <w:color w:val="auto"/>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7" o:spid="_x0000_s1073" style="position:absolute;margin-left:121.25pt;margin-top:13.75pt;width:101.05pt;height:75.45pt;z-index:25265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" fillcolor="#044c75" stroked="f" strokeweight="2pt">
                <v:fill opacity="13878f"/>
                <v:textbox>
                  <w:txbxContent>
                    <w:p w14:paraId="15DF730C"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Disability Service</w:t>
                      </w:r>
                    </w:p>
                    <w:p w14:paraId="384D4BDB"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Complaints</w:t>
                      </w:r>
                    </w:p>
                    <w:p w14:paraId="0863E8C1" w14:textId="77777777" w:rsidR="00A03A05" w:rsidRPr="00FC4141" w:rsidRDefault="00A03A05" w:rsidP="00892AC6">
                      <w:pPr>
                        <w:pStyle w:val="Featurebodytext-NightblueFeaturebodytext"/>
                        <w:spacing w:before="0" w:line="240" w:lineRule="auto"/>
                        <w:jc w:val="center"/>
                        <w:rPr>
                          <w:color w:val="auto"/>
                          <w:sz w:val="22"/>
                          <w:szCs w:val="22"/>
                        </w:rPr>
                      </w:pPr>
                      <w:r>
                        <w:rPr>
                          <w:rFonts w:ascii="Arial" w:hAnsi="Arial" w:cs="Arial"/>
                          <w:b/>
                          <w:bCs/>
                          <w:color w:val="auto"/>
                          <w:sz w:val="22"/>
                          <w:szCs w:val="22"/>
                        </w:rPr>
                        <w:t>3</w:t>
                      </w:r>
                      <w:r w:rsidRPr="00FC4141">
                        <w:rPr>
                          <w:rFonts w:ascii="Arial" w:hAnsi="Arial" w:cs="Arial"/>
                          <w:b/>
                          <w:bCs/>
                          <w:color w:val="auto"/>
                          <w:sz w:val="22"/>
                          <w:szCs w:val="22"/>
                        </w:rPr>
                        <w:t>%</w:t>
                      </w:r>
                    </w:p>
                  </w:txbxContent>
                </v:textbox>
              </v:roundrect>
            </w:pict>
          </mc:Fallback>
        </mc:AlternateContent>
      </w:r>
      <w:r>
        <w:rPr>
          <w:noProof/>
          <w:lang w:eastAsia="en-AU"/>
        </w:rPr>
        <mc:AlternateContent>
          <mc:Choice Requires="wps">
            <w:drawing>
              <wp:anchor distT="0" distB="0" distL="114300" distR="114300" simplePos="0" relativeHeight="252655616" behindDoc="0" locked="0" layoutInCell="1" allowOverlap="1" wp14:anchorId="2B443663" wp14:editId="72E72CFC">
                <wp:simplePos x="0" y="0"/>
                <wp:positionH relativeFrom="column">
                  <wp:posOffset>4235450</wp:posOffset>
                </wp:positionH>
                <wp:positionV relativeFrom="paragraph">
                  <wp:posOffset>162560</wp:posOffset>
                </wp:positionV>
                <wp:extent cx="1306195" cy="962025"/>
                <wp:effectExtent l="0" t="0" r="8255" b="9525"/>
                <wp:wrapNone/>
                <wp:docPr id="49" name="Rounded Rectangle 49"/>
                <wp:cNvGraphicFramePr/>
                <a:graphic xmlns:a="http://schemas.openxmlformats.org/drawingml/2006/main">
                  <a:graphicData uri="http://schemas.microsoft.com/office/word/2010/wordprocessingShape">
                    <wps:wsp>
                      <wps:cNvSpPr/>
                      <wps:spPr>
                        <a:xfrm>
                          <a:off x="0" y="0"/>
                          <a:ext cx="1306195" cy="962025"/>
                        </a:xfrm>
                        <a:prstGeom prst="roundRect">
                          <a:avLst/>
                        </a:prstGeom>
                        <a:solidFill>
                          <a:schemeClr val="bg1">
                            <a:lumMod val="50000"/>
                            <a:alpha val="26000"/>
                          </a:schemeClr>
                        </a:solidFill>
                        <a:ln>
                          <a:noFill/>
                        </a:ln>
                      </wps:spPr>
                      <wps:style>
                        <a:lnRef idx="2">
                          <a:schemeClr val="accent1"/>
                        </a:lnRef>
                        <a:fillRef idx="1">
                          <a:schemeClr val="lt1"/>
                        </a:fillRef>
                        <a:effectRef idx="0">
                          <a:schemeClr val="accent1"/>
                        </a:effectRef>
                        <a:fontRef idx="minor">
                          <a:schemeClr val="dk1"/>
                        </a:fontRef>
                      </wps:style>
                      <wps:txbx>
                        <w:txbxContent>
                          <w:p w14:paraId="1661CB5E"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Out of Jurisdiction</w:t>
                            </w:r>
                          </w:p>
                          <w:p w14:paraId="40C39B35"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Complaints</w:t>
                            </w:r>
                          </w:p>
                          <w:p w14:paraId="2B2613BA" w14:textId="77777777" w:rsidR="00A03A05" w:rsidRPr="00FC4141" w:rsidRDefault="00A03A05" w:rsidP="00892AC6">
                            <w:pPr>
                              <w:pStyle w:val="Featurebodytext-NightblueFeaturebodytext"/>
                              <w:spacing w:before="0" w:line="240" w:lineRule="auto"/>
                              <w:jc w:val="center"/>
                              <w:rPr>
                                <w:color w:val="auto"/>
                                <w:sz w:val="22"/>
                                <w:szCs w:val="22"/>
                              </w:rPr>
                            </w:pPr>
                            <w:r>
                              <w:rPr>
                                <w:rFonts w:ascii="Arial" w:hAnsi="Arial" w:cs="Arial"/>
                                <w:b/>
                                <w:bCs/>
                                <w:color w:val="auto"/>
                                <w:sz w:val="22"/>
                                <w:szCs w:val="22"/>
                              </w:rPr>
                              <w:t>16</w:t>
                            </w:r>
                            <w:r w:rsidRPr="00FC4141">
                              <w:rPr>
                                <w:rFonts w:ascii="Arial" w:hAnsi="Arial" w:cs="Arial"/>
                                <w:b/>
                                <w:bCs/>
                                <w:color w:val="auto"/>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49" o:spid="_x0000_s1074" style="position:absolute;margin-left:333.5pt;margin-top:12.8pt;width:102.85pt;height:75.75pt;z-index:252655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" fillcolor="#7f7f7f [1612]" stroked="f" strokeweight="2pt">
                <v:fill opacity="16962f"/>
                <v:textbox>
                  <w:txbxContent>
                    <w:p w14:paraId="1661CB5E"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Out of Jurisdiction</w:t>
                      </w:r>
                    </w:p>
                    <w:p w14:paraId="40C39B35"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Complaints</w:t>
                      </w:r>
                    </w:p>
                    <w:p w14:paraId="2B2613BA" w14:textId="77777777" w:rsidR="00A03A05" w:rsidRPr="00FC4141" w:rsidRDefault="00A03A05" w:rsidP="00892AC6">
                      <w:pPr>
                        <w:pStyle w:val="Featurebodytext-NightblueFeaturebodytext"/>
                        <w:spacing w:before="0" w:line="240" w:lineRule="auto"/>
                        <w:jc w:val="center"/>
                        <w:rPr>
                          <w:color w:val="auto"/>
                          <w:sz w:val="22"/>
                          <w:szCs w:val="22"/>
                        </w:rPr>
                      </w:pPr>
                      <w:r>
                        <w:rPr>
                          <w:rFonts w:ascii="Arial" w:hAnsi="Arial" w:cs="Arial"/>
                          <w:b/>
                          <w:bCs/>
                          <w:color w:val="auto"/>
                          <w:sz w:val="22"/>
                          <w:szCs w:val="22"/>
                        </w:rPr>
                        <w:t>16</w:t>
                      </w:r>
                      <w:r w:rsidRPr="00FC4141">
                        <w:rPr>
                          <w:rFonts w:ascii="Arial" w:hAnsi="Arial" w:cs="Arial"/>
                          <w:b/>
                          <w:bCs/>
                          <w:color w:val="auto"/>
                          <w:sz w:val="22"/>
                          <w:szCs w:val="22"/>
                        </w:rPr>
                        <w:t>%</w:t>
                      </w:r>
                    </w:p>
                  </w:txbxContent>
                </v:textbox>
              </v:roundrect>
            </w:pict>
          </mc:Fallback>
        </mc:AlternateContent>
      </w:r>
      <w:r>
        <w:rPr>
          <w:noProof/>
          <w:lang w:eastAsia="en-AU"/>
        </w:rPr>
        <mc:AlternateContent>
          <mc:Choice Requires="wps">
            <w:drawing>
              <wp:anchor distT="0" distB="0" distL="114300" distR="114300" simplePos="0" relativeHeight="252652544" behindDoc="0" locked="0" layoutInCell="1" allowOverlap="1" wp14:anchorId="684C8135" wp14:editId="5A05CADC">
                <wp:simplePos x="0" y="0"/>
                <wp:positionH relativeFrom="column">
                  <wp:posOffset>200660</wp:posOffset>
                </wp:positionH>
                <wp:positionV relativeFrom="paragraph">
                  <wp:posOffset>168275</wp:posOffset>
                </wp:positionV>
                <wp:extent cx="1273175" cy="960120"/>
                <wp:effectExtent l="0" t="0" r="3175" b="0"/>
                <wp:wrapNone/>
                <wp:docPr id="46" name="Rounded Rectangle 46"/>
                <wp:cNvGraphicFramePr/>
                <a:graphic xmlns:a="http://schemas.openxmlformats.org/drawingml/2006/main">
                  <a:graphicData uri="http://schemas.microsoft.com/office/word/2010/wordprocessingShape">
                    <wps:wsp>
                      <wps:cNvSpPr/>
                      <wps:spPr>
                        <a:xfrm>
                          <a:off x="0" y="0"/>
                          <a:ext cx="1273175" cy="960120"/>
                        </a:xfrm>
                        <a:prstGeom prst="roundRect">
                          <a:avLst/>
                        </a:prstGeom>
                        <a:solidFill>
                          <a:srgbClr val="2487C4">
                            <a:alpha val="16000"/>
                          </a:srgbClr>
                        </a:solidFill>
                        <a:ln>
                          <a:noFill/>
                        </a:ln>
                      </wps:spPr>
                      <wps:style>
                        <a:lnRef idx="2">
                          <a:schemeClr val="accent1"/>
                        </a:lnRef>
                        <a:fillRef idx="1">
                          <a:schemeClr val="lt1"/>
                        </a:fillRef>
                        <a:effectRef idx="0">
                          <a:schemeClr val="accent1"/>
                        </a:effectRef>
                        <a:fontRef idx="minor">
                          <a:schemeClr val="dk1"/>
                        </a:fontRef>
                      </wps:style>
                      <wps:txbx>
                        <w:txbxContent>
                          <w:p w14:paraId="2A899903"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Health Service</w:t>
                            </w:r>
                            <w:r w:rsidRPr="00FC4141">
                              <w:rPr>
                                <w:rFonts w:ascii="Arial" w:hAnsi="Arial" w:cs="Arial"/>
                                <w:bCs/>
                                <w:color w:val="auto"/>
                                <w:sz w:val="22"/>
                                <w:szCs w:val="22"/>
                              </w:rPr>
                              <w:br/>
                              <w:t>Complaints</w:t>
                            </w:r>
                          </w:p>
                          <w:p w14:paraId="7BBFDCD5" w14:textId="77777777" w:rsidR="00A03A05" w:rsidRPr="00FC4141" w:rsidRDefault="00A03A05" w:rsidP="00892AC6">
                            <w:pPr>
                              <w:pStyle w:val="Featurebodytext-NightblueFeaturebodytext"/>
                              <w:spacing w:before="0" w:line="240" w:lineRule="auto"/>
                              <w:jc w:val="center"/>
                              <w:rPr>
                                <w:color w:val="auto"/>
                                <w:sz w:val="22"/>
                                <w:szCs w:val="22"/>
                              </w:rPr>
                            </w:pPr>
                            <w:r>
                              <w:rPr>
                                <w:rFonts w:ascii="Arial" w:hAnsi="Arial" w:cs="Arial"/>
                                <w:b/>
                                <w:bCs/>
                                <w:color w:val="auto"/>
                                <w:sz w:val="22"/>
                                <w:szCs w:val="22"/>
                              </w:rPr>
                              <w:t>68</w:t>
                            </w:r>
                            <w:r w:rsidRPr="00FC4141">
                              <w:rPr>
                                <w:rFonts w:ascii="Arial" w:hAnsi="Arial" w:cs="Arial"/>
                                <w:b/>
                                <w:bCs/>
                                <w:color w:val="auto"/>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6" o:spid="_x0000_s1075" style="position:absolute;margin-left:15.8pt;margin-top:13.25pt;width:100.25pt;height:75.6pt;z-index:25265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" fillcolor="#2487c4" stroked="f" strokeweight="2pt">
                <v:fill opacity="10537f"/>
                <v:textbox>
                  <w:txbxContent>
                    <w:p w14:paraId="2A899903"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Health Service</w:t>
                      </w:r>
                      <w:r w:rsidRPr="00FC4141">
                        <w:rPr>
                          <w:rFonts w:ascii="Arial" w:hAnsi="Arial" w:cs="Arial"/>
                          <w:bCs/>
                          <w:color w:val="auto"/>
                          <w:sz w:val="22"/>
                          <w:szCs w:val="22"/>
                        </w:rPr>
                        <w:br/>
                        <w:t>Complaints</w:t>
                      </w:r>
                    </w:p>
                    <w:p w14:paraId="7BBFDCD5" w14:textId="77777777" w:rsidR="00A03A05" w:rsidRPr="00FC4141" w:rsidRDefault="00A03A05" w:rsidP="00892AC6">
                      <w:pPr>
                        <w:pStyle w:val="Featurebodytext-NightblueFeaturebodytext"/>
                        <w:spacing w:before="0" w:line="240" w:lineRule="auto"/>
                        <w:jc w:val="center"/>
                        <w:rPr>
                          <w:color w:val="auto"/>
                          <w:sz w:val="22"/>
                          <w:szCs w:val="22"/>
                        </w:rPr>
                      </w:pPr>
                      <w:r>
                        <w:rPr>
                          <w:rFonts w:ascii="Arial" w:hAnsi="Arial" w:cs="Arial"/>
                          <w:b/>
                          <w:bCs/>
                          <w:color w:val="auto"/>
                          <w:sz w:val="22"/>
                          <w:szCs w:val="22"/>
                        </w:rPr>
                        <w:t>68</w:t>
                      </w:r>
                      <w:r w:rsidRPr="00FC4141">
                        <w:rPr>
                          <w:rFonts w:ascii="Arial" w:hAnsi="Arial" w:cs="Arial"/>
                          <w:b/>
                          <w:bCs/>
                          <w:color w:val="auto"/>
                          <w:sz w:val="22"/>
                          <w:szCs w:val="22"/>
                        </w:rPr>
                        <w:t>%</w:t>
                      </w:r>
                    </w:p>
                  </w:txbxContent>
                </v:textbox>
              </v:roundrect>
            </w:pict>
          </mc:Fallback>
        </mc:AlternateContent>
      </w:r>
      <w:r>
        <w:rPr>
          <w:noProof/>
          <w:lang w:eastAsia="en-AU"/>
        </w:rPr>
        <mc:AlternateContent>
          <mc:Choice Requires="wps">
            <w:drawing>
              <wp:anchor distT="0" distB="0" distL="114300" distR="114300" simplePos="0" relativeHeight="252654592" behindDoc="0" locked="0" layoutInCell="1" allowOverlap="1" wp14:anchorId="2C49E511" wp14:editId="29E599DD">
                <wp:simplePos x="0" y="0"/>
                <wp:positionH relativeFrom="column">
                  <wp:posOffset>2885440</wp:posOffset>
                </wp:positionH>
                <wp:positionV relativeFrom="paragraph">
                  <wp:posOffset>169757</wp:posOffset>
                </wp:positionV>
                <wp:extent cx="1290955" cy="962025"/>
                <wp:effectExtent l="0" t="0" r="4445" b="9525"/>
                <wp:wrapNone/>
                <wp:docPr id="48" name="Rounded Rectangle 48"/>
                <wp:cNvGraphicFramePr/>
                <a:graphic xmlns:a="http://schemas.openxmlformats.org/drawingml/2006/main">
                  <a:graphicData uri="http://schemas.microsoft.com/office/word/2010/wordprocessingShape">
                    <wps:wsp>
                      <wps:cNvSpPr/>
                      <wps:spPr>
                        <a:xfrm>
                          <a:off x="0" y="0"/>
                          <a:ext cx="1290955" cy="962025"/>
                        </a:xfrm>
                        <a:prstGeom prst="roundRect">
                          <a:avLst/>
                        </a:prstGeom>
                        <a:solidFill>
                          <a:srgbClr val="2487C4">
                            <a:alpha val="25882"/>
                          </a:srgbClr>
                        </a:solidFill>
                        <a:ln>
                          <a:noFill/>
                        </a:ln>
                      </wps:spPr>
                      <wps:style>
                        <a:lnRef idx="2">
                          <a:schemeClr val="accent1"/>
                        </a:lnRef>
                        <a:fillRef idx="1">
                          <a:schemeClr val="lt1"/>
                        </a:fillRef>
                        <a:effectRef idx="0">
                          <a:schemeClr val="accent1"/>
                        </a:effectRef>
                        <a:fontRef idx="minor">
                          <a:schemeClr val="dk1"/>
                        </a:fontRef>
                      </wps:style>
                      <wps:txbx>
                        <w:txbxContent>
                          <w:p w14:paraId="1DCD2D0A"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Mental Health</w:t>
                            </w:r>
                          </w:p>
                          <w:p w14:paraId="63459014"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Service Complaints</w:t>
                            </w:r>
                          </w:p>
                          <w:p w14:paraId="7EB538FC" w14:textId="77777777" w:rsidR="00A03A05" w:rsidRPr="00FC4141" w:rsidRDefault="00A03A05" w:rsidP="00892AC6">
                            <w:pPr>
                              <w:pStyle w:val="Featurebodytext-NightblueFeaturebodytext"/>
                              <w:spacing w:before="0" w:line="240" w:lineRule="auto"/>
                              <w:jc w:val="center"/>
                              <w:rPr>
                                <w:color w:val="auto"/>
                                <w:sz w:val="22"/>
                                <w:szCs w:val="22"/>
                              </w:rPr>
                            </w:pPr>
                            <w:r>
                              <w:rPr>
                                <w:rFonts w:ascii="Arial" w:hAnsi="Arial" w:cs="Arial"/>
                                <w:b/>
                                <w:bCs/>
                                <w:color w:val="auto"/>
                                <w:sz w:val="22"/>
                                <w:szCs w:val="22"/>
                              </w:rPr>
                              <w:t>13</w:t>
                            </w:r>
                            <w:r w:rsidRPr="00FC4141">
                              <w:rPr>
                                <w:rFonts w:ascii="Arial" w:hAnsi="Arial" w:cs="Arial"/>
                                <w:b/>
                                <w:bCs/>
                                <w:color w:val="auto"/>
                                <w:sz w:val="22"/>
                                <w:szCs w:val="22"/>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48" o:spid="_x0000_s1076" style="position:absolute;margin-left:227.2pt;margin-top:13.35pt;width:101.65pt;height:75.75pt;z-index:2526545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" fillcolor="#2487c4" stroked="f" strokeweight="2pt">
                <v:fill opacity="16962f"/>
                <v:textbox>
                  <w:txbxContent>
                    <w:p w14:paraId="1DCD2D0A"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Mental Health</w:t>
                      </w:r>
                    </w:p>
                    <w:p w14:paraId="63459014" w14:textId="77777777" w:rsidR="00A03A05" w:rsidRPr="00FC4141" w:rsidRDefault="00A03A05" w:rsidP="00892AC6">
                      <w:pPr>
                        <w:pStyle w:val="Featurebodytext-NightblueFeaturebodytext"/>
                        <w:spacing w:before="0" w:line="240" w:lineRule="auto"/>
                        <w:jc w:val="center"/>
                        <w:rPr>
                          <w:rFonts w:ascii="Arial" w:hAnsi="Arial" w:cs="Arial"/>
                          <w:bCs/>
                          <w:color w:val="auto"/>
                          <w:sz w:val="22"/>
                          <w:szCs w:val="22"/>
                        </w:rPr>
                      </w:pPr>
                      <w:r w:rsidRPr="00FC4141">
                        <w:rPr>
                          <w:rFonts w:ascii="Arial" w:hAnsi="Arial" w:cs="Arial"/>
                          <w:bCs/>
                          <w:color w:val="auto"/>
                          <w:sz w:val="22"/>
                          <w:szCs w:val="22"/>
                        </w:rPr>
                        <w:t>Service Complaints</w:t>
                      </w:r>
                    </w:p>
                    <w:p w14:paraId="7EB538FC" w14:textId="77777777" w:rsidR="00A03A05" w:rsidRPr="00FC4141" w:rsidRDefault="00A03A05" w:rsidP="00892AC6">
                      <w:pPr>
                        <w:pStyle w:val="Featurebodytext-NightblueFeaturebodytext"/>
                        <w:spacing w:before="0" w:line="240" w:lineRule="auto"/>
                        <w:jc w:val="center"/>
                        <w:rPr>
                          <w:color w:val="auto"/>
                          <w:sz w:val="22"/>
                          <w:szCs w:val="22"/>
                        </w:rPr>
                      </w:pPr>
                      <w:r>
                        <w:rPr>
                          <w:rFonts w:ascii="Arial" w:hAnsi="Arial" w:cs="Arial"/>
                          <w:b/>
                          <w:bCs/>
                          <w:color w:val="auto"/>
                          <w:sz w:val="22"/>
                          <w:szCs w:val="22"/>
                        </w:rPr>
                        <w:t>13</w:t>
                      </w:r>
                      <w:r w:rsidRPr="00FC4141">
                        <w:rPr>
                          <w:rFonts w:ascii="Arial" w:hAnsi="Arial" w:cs="Arial"/>
                          <w:b/>
                          <w:bCs/>
                          <w:color w:val="auto"/>
                          <w:sz w:val="22"/>
                          <w:szCs w:val="22"/>
                        </w:rPr>
                        <w:t>%</w:t>
                      </w:r>
                    </w:p>
                  </w:txbxContent>
                </v:textbox>
              </v:roundrect>
            </w:pict>
          </mc:Fallback>
        </mc:AlternateContent>
      </w:r>
    </w:p>
    <w:p w14:paraId="6DB8F01C" w14:textId="77777777" w:rsidR="00892AC6" w:rsidRDefault="00892AC6" w:rsidP="00892AC6"/>
    <w:p w14:paraId="6AE0666B" w14:textId="77777777" w:rsidR="00892AC6" w:rsidRDefault="00892AC6" w:rsidP="00892AC6"/>
    <w:p w14:paraId="3DC607A3" w14:textId="77777777" w:rsidR="00892AC6" w:rsidRDefault="00892AC6" w:rsidP="00892AC6"/>
    <w:p w14:paraId="711FE04A" w14:textId="77777777" w:rsidR="00892AC6" w:rsidRDefault="00892AC6" w:rsidP="00892AC6"/>
    <w:p w14:paraId="6EEC5C2F" w14:textId="77777777" w:rsidR="00892AC6" w:rsidRDefault="00892AC6" w:rsidP="00892AC6"/>
    <w:p w14:paraId="7C996717" w14:textId="77777777" w:rsidR="00892AC6" w:rsidRDefault="00892AC6" w:rsidP="00892AC6"/>
    <w:p w14:paraId="2414CC7A" w14:textId="77777777" w:rsidR="00892AC6" w:rsidRDefault="00892AC6" w:rsidP="00892AC6"/>
    <w:p w14:paraId="4CF5262F" w14:textId="77777777" w:rsidR="00892AC6" w:rsidRDefault="00892AC6" w:rsidP="00892AC6"/>
    <w:p w14:paraId="4C084C65" w14:textId="77777777" w:rsidR="0041542C" w:rsidRDefault="0041542C" w:rsidP="00892AC6">
      <w:pPr>
        <w:sectPr w:rsidR="0041542C" w:rsidSect="0041542C">
          <w:type w:val="continuous"/>
          <w:pgSz w:w="11907" w:h="16840" w:code="9"/>
          <w:pgMar w:top="1134" w:right="1440" w:bottom="1440" w:left="1440" w:header="720" w:footer="709" w:gutter="0"/>
          <w:cols w:space="720"/>
          <w:titlePg/>
          <w:docGrid w:linePitch="326"/>
        </w:sectPr>
      </w:pPr>
    </w:p>
    <w:p w14:paraId="26D9430E" w14:textId="77777777" w:rsidR="00892AC6" w:rsidRDefault="00892AC6" w:rsidP="00892AC6"/>
    <w:p w14:paraId="0F05C8E7" w14:textId="77777777" w:rsidR="0041542C" w:rsidRDefault="00892AC6" w:rsidP="00892AC6">
      <w:pPr>
        <w:sectPr w:rsidR="0041542C" w:rsidSect="0041542C">
          <w:type w:val="continuous"/>
          <w:pgSz w:w="11907" w:h="16840" w:code="9"/>
          <w:pgMar w:top="1134" w:right="1440" w:bottom="1440" w:left="1440" w:header="720" w:footer="709" w:gutter="0"/>
          <w:cols w:space="720"/>
          <w:titlePg/>
          <w:docGrid w:linePitch="326"/>
        </w:sectPr>
      </w:pPr>
      <w:r>
        <w:t xml:space="preserve">In 2017-18, the majority of the complaints received by HaDSCO concerned health services (68% of complaints received). The Office received comparatively fewer complaints about disability and mental health services (3% and 13% of complaints received respectively). HaDSCO also receives complaints that are out of jurisdiction; these are complaints that do not relate to the provision of health, disability or mental </w:t>
      </w:r>
    </w:p>
    <w:p w14:paraId="77EE3996" w14:textId="1A5A2338" w:rsidR="00892AC6" w:rsidRDefault="00892AC6" w:rsidP="00892AC6">
      <w:r>
        <w:lastRenderedPageBreak/>
        <w:t>health services in Western Australia or the Indian Ocean Territories. Out of jurisdiction complaints accounted for 16% of all complaints received, compared to 15% in 2016-17.</w:t>
      </w:r>
    </w:p>
    <w:p w14:paraId="092436F7" w14:textId="77777777" w:rsidR="00892AC6" w:rsidRDefault="00892AC6" w:rsidP="00892AC6"/>
    <w:p w14:paraId="6D11A256" w14:textId="77777777" w:rsidR="00C22296" w:rsidRDefault="00C22296" w:rsidP="00892AC6"/>
    <w:p w14:paraId="4D5D64CA" w14:textId="77777777" w:rsidR="00892AC6" w:rsidRDefault="00892AC6" w:rsidP="00892AC6"/>
    <w:p w14:paraId="717D7782" w14:textId="523C4BC8" w:rsidR="00CD2BA4" w:rsidRDefault="00CD2BA4" w:rsidP="00CD2BA4">
      <w:r w:rsidRPr="00D27A59">
        <w:lastRenderedPageBreak/>
        <w:t xml:space="preserve">The </w:t>
      </w:r>
      <w:r>
        <w:t>total number of</w:t>
      </w:r>
      <w:r w:rsidRPr="00D27A59">
        <w:t xml:space="preserve"> </w:t>
      </w:r>
      <w:r w:rsidRPr="001448A5">
        <w:t xml:space="preserve">complaints received by HaDSCO </w:t>
      </w:r>
      <w:r>
        <w:t>has steadily increased over the five year period from 2013-14 to 2017-18,</w:t>
      </w:r>
      <w:r w:rsidRPr="001448A5">
        <w:t xml:space="preserve"> as displayed in Figure 1. </w:t>
      </w:r>
      <w:r>
        <w:t xml:space="preserve">The total number of complaints received </w:t>
      </w:r>
      <w:r w:rsidR="007A37FA" w:rsidRPr="007A37FA">
        <w:t xml:space="preserve">in 2017-18 was 2,719, which represents a </w:t>
      </w:r>
      <w:r>
        <w:t>12%</w:t>
      </w:r>
      <w:r w:rsidR="007A37FA">
        <w:t xml:space="preserve"> increase</w:t>
      </w:r>
      <w:r>
        <w:t xml:space="preserve"> </w:t>
      </w:r>
      <w:r w:rsidR="007A37FA" w:rsidRPr="007A37FA">
        <w:t xml:space="preserve">relative to 2013-14. </w:t>
      </w:r>
    </w:p>
    <w:p w14:paraId="284177D0" w14:textId="77777777" w:rsidR="00892AC6" w:rsidRPr="001448A5" w:rsidRDefault="00892AC6" w:rsidP="00892AC6"/>
    <w:p w14:paraId="6D1F4FA6" w14:textId="54D62C02" w:rsidR="00892AC6" w:rsidRDefault="00892AC6" w:rsidP="00892AC6">
      <w:pPr>
        <w:pStyle w:val="Normal-L3"/>
        <w:spacing w:line="276" w:lineRule="auto"/>
        <w:rPr>
          <w:rFonts w:eastAsiaTheme="majorEastAsia" w:cstheme="majorBidi"/>
          <w:b/>
          <w:bCs/>
          <w:noProof/>
          <w:color w:val="000000" w:themeColor="text1"/>
          <w:szCs w:val="24"/>
          <w:lang w:eastAsia="en-AU"/>
        </w:rPr>
      </w:pPr>
      <w:r w:rsidRPr="001448A5">
        <w:rPr>
          <w:rFonts w:eastAsiaTheme="majorEastAsia" w:cstheme="majorBidi"/>
          <w:b/>
          <w:bCs/>
          <w:color w:val="000000" w:themeColor="text1"/>
          <w:szCs w:val="24"/>
        </w:rPr>
        <w:t>Figure 1: Complaints received between 201</w:t>
      </w:r>
      <w:r>
        <w:rPr>
          <w:rFonts w:eastAsiaTheme="majorEastAsia" w:cstheme="majorBidi"/>
          <w:b/>
          <w:bCs/>
          <w:color w:val="000000" w:themeColor="text1"/>
          <w:szCs w:val="24"/>
        </w:rPr>
        <w:t>3-14 and 2017-18</w:t>
      </w:r>
    </w:p>
    <w:p w14:paraId="40B984E5" w14:textId="4CE324EF" w:rsidR="006316D2" w:rsidRDefault="006316D2" w:rsidP="00892AC6">
      <w:pPr>
        <w:pStyle w:val="Normal-L3"/>
        <w:spacing w:line="276" w:lineRule="auto"/>
        <w:rPr>
          <w:rFonts w:eastAsiaTheme="majorEastAsia" w:cstheme="majorBidi"/>
          <w:b/>
          <w:bCs/>
          <w:color w:val="000000" w:themeColor="text1"/>
          <w:szCs w:val="24"/>
        </w:rPr>
      </w:pPr>
      <w:r>
        <w:rPr>
          <w:rFonts w:eastAsiaTheme="majorEastAsia" w:cstheme="majorBidi"/>
          <w:b/>
          <w:bCs/>
          <w:noProof/>
          <w:color w:val="000000" w:themeColor="text1"/>
          <w:szCs w:val="24"/>
          <w:lang w:eastAsia="en-AU"/>
        </w:rPr>
        <w:drawing>
          <wp:inline distT="0" distB="0" distL="0" distR="0" wp14:anchorId="410CBB84" wp14:editId="52F25651">
            <wp:extent cx="5732145" cy="3118431"/>
            <wp:effectExtent l="0" t="0" r="20955" b="2540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53F7F20" w14:textId="77777777" w:rsidR="00892AC6" w:rsidRDefault="00892AC6" w:rsidP="00163500"/>
    <w:p w14:paraId="12889C50" w14:textId="77777777" w:rsidR="00CD2BA4" w:rsidRDefault="00CD2BA4" w:rsidP="00CD2BA4">
      <w:r>
        <w:t xml:space="preserve">Our Office classifies a proportion of complaints as out of jurisdiction (see Figure 1). In 2017-18, we received 447 complaints that were determined to be out of jurisdiction. In these circumstances, HaDSCO staff provide information regarding an alternative agency that may assist the individual with their concerns. </w:t>
      </w:r>
      <w:r>
        <w:rPr>
          <w:rFonts w:eastAsiaTheme="majorEastAsia" w:cstheme="majorBidi"/>
          <w:bCs/>
          <w:iCs/>
        </w:rPr>
        <w:t>If required, we also provide information about the supports available to assist the individual, such as advocacy or legal services.</w:t>
      </w:r>
    </w:p>
    <w:p w14:paraId="1DE153ED" w14:textId="77777777" w:rsidR="00CD2BA4" w:rsidRDefault="00CD2BA4" w:rsidP="00CD2BA4"/>
    <w:p w14:paraId="685D5AAD" w14:textId="77777777" w:rsidR="00CD2BA4" w:rsidRDefault="00CD2BA4" w:rsidP="00CD2BA4">
      <w:r>
        <w:t xml:space="preserve">We monitor the number of out of jurisdiction complaints which assist us to identify opportunities for stakeholder engagement to inform the community about HaDSCO’s role in managing complaints about health, disability and mental health services. </w:t>
      </w:r>
    </w:p>
    <w:p w14:paraId="30CF0F3E" w14:textId="77777777" w:rsidR="00CD2BA4" w:rsidRPr="00CD2BA4" w:rsidRDefault="00CD2BA4" w:rsidP="00CD2BA4"/>
    <w:p w14:paraId="4FFCD726" w14:textId="77777777" w:rsidR="00892AC6" w:rsidRDefault="00892AC6" w:rsidP="00892AC6"/>
    <w:p w14:paraId="31D6B58E" w14:textId="77777777" w:rsidR="00892AC6" w:rsidRDefault="00892AC6" w:rsidP="00892AC6"/>
    <w:p w14:paraId="6638632F" w14:textId="77777777" w:rsidR="00C62E0F" w:rsidRDefault="00C62E0F" w:rsidP="00C8307B">
      <w:pPr>
        <w:jc w:val="both"/>
        <w:rPr>
          <w:b/>
        </w:rPr>
      </w:pPr>
    </w:p>
    <w:p w14:paraId="1C41EA9A" w14:textId="77777777" w:rsidR="00F70F07" w:rsidRDefault="00F70F07">
      <w:pPr>
        <w:spacing w:after="200" w:line="276" w:lineRule="auto"/>
        <w:rPr>
          <w:b/>
        </w:rPr>
      </w:pPr>
      <w:r>
        <w:rPr>
          <w:b/>
        </w:rPr>
        <w:br w:type="page"/>
      </w:r>
    </w:p>
    <w:p w14:paraId="27D1D855" w14:textId="77777777" w:rsidR="00F70F07" w:rsidRPr="004A0004" w:rsidRDefault="00F70F07" w:rsidP="00F70F07">
      <w:pPr>
        <w:rPr>
          <w:rFonts w:eastAsiaTheme="majorEastAsia" w:cstheme="majorBidi"/>
          <w:b/>
          <w:bCs/>
          <w:iCs/>
        </w:rPr>
      </w:pPr>
      <w:r w:rsidRPr="00917FE9">
        <w:rPr>
          <w:rFonts w:eastAsiaTheme="majorEastAsia" w:cstheme="majorBidi"/>
          <w:b/>
          <w:bCs/>
          <w:iCs/>
        </w:rPr>
        <w:lastRenderedPageBreak/>
        <w:t>Awareness of HaDSCO</w:t>
      </w:r>
    </w:p>
    <w:p w14:paraId="38650C2C" w14:textId="77777777" w:rsidR="00F70F07" w:rsidRPr="00E27E14" w:rsidRDefault="00F70F07" w:rsidP="00F70F07">
      <w:pPr>
        <w:jc w:val="both"/>
        <w:rPr>
          <w:rFonts w:eastAsiaTheme="majorEastAsia" w:cstheme="majorBidi"/>
          <w:b/>
          <w:bCs/>
          <w:iCs/>
          <w:color w:val="2487C4"/>
        </w:rPr>
      </w:pPr>
    </w:p>
    <w:p w14:paraId="7DBBE431" w14:textId="77777777" w:rsidR="00A35933" w:rsidRDefault="00A35933" w:rsidP="00A35933">
      <w:pPr>
        <w:pStyle w:val="Normal-L3"/>
        <w:rPr>
          <w:rFonts w:eastAsiaTheme="majorEastAsia" w:cstheme="majorBidi"/>
          <w:bCs/>
          <w:color w:val="000000" w:themeColor="text1"/>
          <w:szCs w:val="24"/>
        </w:rPr>
      </w:pPr>
      <w:r>
        <w:rPr>
          <w:rFonts w:eastAsiaTheme="majorEastAsia" w:cstheme="majorBidi"/>
          <w:bCs/>
          <w:color w:val="000000" w:themeColor="text1"/>
          <w:szCs w:val="24"/>
        </w:rPr>
        <w:t>There are a number of ways that people become aware of HaDSCO, as detailed in Figure 2.</w:t>
      </w:r>
    </w:p>
    <w:p w14:paraId="2C2E203E" w14:textId="77777777" w:rsidR="00A35933" w:rsidRDefault="00A35933" w:rsidP="00A35933">
      <w:pPr>
        <w:pStyle w:val="Normal-L3"/>
        <w:rPr>
          <w:rFonts w:eastAsiaTheme="majorEastAsia" w:cstheme="majorBidi"/>
          <w:bCs/>
          <w:color w:val="000000" w:themeColor="text1"/>
          <w:szCs w:val="24"/>
        </w:rPr>
      </w:pPr>
    </w:p>
    <w:p w14:paraId="0097A858" w14:textId="77777777" w:rsidR="00A35933" w:rsidRDefault="00A35933" w:rsidP="00A35933">
      <w:pPr>
        <w:pStyle w:val="Normal-L3"/>
        <w:rPr>
          <w:rFonts w:eastAsiaTheme="majorEastAsia" w:cstheme="majorBidi"/>
          <w:bCs/>
          <w:color w:val="000000" w:themeColor="text1"/>
          <w:szCs w:val="24"/>
        </w:rPr>
      </w:pPr>
      <w:r>
        <w:rPr>
          <w:rFonts w:eastAsiaTheme="majorEastAsia" w:cstheme="majorBidi"/>
          <w:bCs/>
          <w:color w:val="000000" w:themeColor="text1"/>
          <w:szCs w:val="24"/>
        </w:rPr>
        <w:t xml:space="preserve">People typically become aware of HaDSCO in one of two ways: </w:t>
      </w:r>
    </w:p>
    <w:p w14:paraId="5521E5D3" w14:textId="36ABDF4E" w:rsidR="00A35933" w:rsidRDefault="00A35933" w:rsidP="000B6A67">
      <w:pPr>
        <w:pStyle w:val="Normal-L3"/>
        <w:numPr>
          <w:ilvl w:val="0"/>
          <w:numId w:val="8"/>
        </w:numPr>
        <w:ind w:left="426"/>
        <w:rPr>
          <w:rFonts w:eastAsiaTheme="majorEastAsia" w:cstheme="majorBidi"/>
          <w:bCs/>
          <w:color w:val="000000" w:themeColor="text1"/>
          <w:szCs w:val="24"/>
        </w:rPr>
      </w:pPr>
      <w:r>
        <w:rPr>
          <w:rFonts w:eastAsiaTheme="majorEastAsia" w:cstheme="majorBidi"/>
          <w:bCs/>
          <w:color w:val="000000" w:themeColor="text1"/>
          <w:szCs w:val="24"/>
        </w:rPr>
        <w:t xml:space="preserve">They are referred by a government agency, service provider, or have </w:t>
      </w:r>
      <w:r w:rsidR="00FB3BA9">
        <w:rPr>
          <w:rFonts w:eastAsiaTheme="majorEastAsia" w:cstheme="majorBidi"/>
          <w:bCs/>
          <w:color w:val="000000" w:themeColor="text1"/>
          <w:szCs w:val="24"/>
        </w:rPr>
        <w:t>used our services before</w:t>
      </w:r>
      <w:r>
        <w:rPr>
          <w:rFonts w:eastAsiaTheme="majorEastAsia" w:cstheme="majorBidi"/>
          <w:bCs/>
          <w:color w:val="000000" w:themeColor="text1"/>
          <w:szCs w:val="24"/>
        </w:rPr>
        <w:t>.</w:t>
      </w:r>
    </w:p>
    <w:p w14:paraId="107AAFCA" w14:textId="77777777" w:rsidR="00A35933" w:rsidRDefault="00A35933" w:rsidP="000B6A67">
      <w:pPr>
        <w:pStyle w:val="Normal-L3"/>
        <w:numPr>
          <w:ilvl w:val="0"/>
          <w:numId w:val="8"/>
        </w:numPr>
        <w:ind w:left="426"/>
        <w:rPr>
          <w:rFonts w:eastAsiaTheme="majorEastAsia" w:cstheme="majorBidi"/>
          <w:bCs/>
          <w:color w:val="000000" w:themeColor="text1"/>
          <w:szCs w:val="24"/>
        </w:rPr>
      </w:pPr>
      <w:r>
        <w:rPr>
          <w:rFonts w:eastAsiaTheme="majorEastAsia" w:cstheme="majorBidi"/>
          <w:bCs/>
          <w:color w:val="000000" w:themeColor="text1"/>
          <w:szCs w:val="24"/>
        </w:rPr>
        <w:t xml:space="preserve">They use an online search engine or visit our website. </w:t>
      </w:r>
    </w:p>
    <w:p w14:paraId="4DB6990C" w14:textId="77777777" w:rsidR="00A35933" w:rsidRDefault="00A35933" w:rsidP="00A35933">
      <w:pPr>
        <w:pStyle w:val="Normal-L3"/>
        <w:rPr>
          <w:rFonts w:eastAsiaTheme="majorEastAsia" w:cstheme="majorBidi"/>
          <w:bCs/>
          <w:color w:val="000000" w:themeColor="text1"/>
          <w:szCs w:val="24"/>
        </w:rPr>
      </w:pPr>
    </w:p>
    <w:p w14:paraId="05B0331E" w14:textId="3D2867C6" w:rsidR="00F70F07" w:rsidRDefault="00A35933" w:rsidP="00A35933">
      <w:pPr>
        <w:pStyle w:val="Normal-L3"/>
        <w:rPr>
          <w:rFonts w:eastAsiaTheme="majorEastAsia" w:cstheme="majorBidi"/>
          <w:bCs/>
          <w:color w:val="000000" w:themeColor="text1"/>
          <w:szCs w:val="24"/>
        </w:rPr>
      </w:pPr>
      <w:r>
        <w:rPr>
          <w:rFonts w:eastAsiaTheme="majorEastAsia" w:cstheme="majorBidi"/>
          <w:bCs/>
          <w:color w:val="000000" w:themeColor="text1"/>
          <w:szCs w:val="24"/>
        </w:rPr>
        <w:t>Few trends are observed across the different ways individua</w:t>
      </w:r>
      <w:r w:rsidR="00AA6184">
        <w:rPr>
          <w:rFonts w:eastAsiaTheme="majorEastAsia" w:cstheme="majorBidi"/>
          <w:bCs/>
          <w:color w:val="000000" w:themeColor="text1"/>
          <w:szCs w:val="24"/>
        </w:rPr>
        <w:t>ls become aware of our Office. T</w:t>
      </w:r>
      <w:r>
        <w:rPr>
          <w:rFonts w:eastAsiaTheme="majorEastAsia" w:cstheme="majorBidi"/>
          <w:bCs/>
          <w:color w:val="000000" w:themeColor="text1"/>
          <w:szCs w:val="24"/>
        </w:rPr>
        <w:t>he largest year over year change was seen for the number of people who were familiar with our Office through using HaDSCO’s services before, which increased from 11% in 2016-17 to 16% in 2017-18.</w:t>
      </w:r>
    </w:p>
    <w:p w14:paraId="53A5C104" w14:textId="77777777" w:rsidR="00F70F07" w:rsidRDefault="00F70F07" w:rsidP="00F70F07">
      <w:pPr>
        <w:pStyle w:val="Normal-L3"/>
        <w:rPr>
          <w:rFonts w:eastAsiaTheme="majorEastAsia" w:cstheme="majorBidi"/>
          <w:bCs/>
          <w:color w:val="000000" w:themeColor="text1"/>
          <w:szCs w:val="24"/>
        </w:rPr>
      </w:pPr>
    </w:p>
    <w:p w14:paraId="18EA9C5C" w14:textId="7E2D6919" w:rsidR="00F70F07" w:rsidRDefault="00A35933" w:rsidP="00F70F07">
      <w:pPr>
        <w:pStyle w:val="Normal-L3"/>
        <w:spacing w:line="276" w:lineRule="auto"/>
        <w:rPr>
          <w:rFonts w:eastAsiaTheme="majorEastAsia" w:cstheme="majorBidi"/>
          <w:b/>
          <w:bCs/>
          <w:color w:val="000000" w:themeColor="text1"/>
          <w:szCs w:val="24"/>
        </w:rPr>
      </w:pPr>
      <w:r>
        <w:rPr>
          <w:rFonts w:eastAsiaTheme="majorEastAsia" w:cstheme="majorBidi"/>
          <w:b/>
          <w:bCs/>
          <w:color w:val="000000" w:themeColor="text1"/>
          <w:szCs w:val="24"/>
        </w:rPr>
        <w:t>Figure 2</w:t>
      </w:r>
      <w:r w:rsidRPr="001448A5">
        <w:rPr>
          <w:rFonts w:eastAsiaTheme="majorEastAsia" w:cstheme="majorBidi"/>
          <w:b/>
          <w:bCs/>
          <w:color w:val="000000" w:themeColor="text1"/>
          <w:szCs w:val="24"/>
        </w:rPr>
        <w:t>: Awareness</w:t>
      </w:r>
      <w:r>
        <w:rPr>
          <w:rFonts w:eastAsiaTheme="majorEastAsia" w:cstheme="majorBidi"/>
          <w:b/>
          <w:bCs/>
          <w:color w:val="000000" w:themeColor="text1"/>
          <w:szCs w:val="24"/>
        </w:rPr>
        <w:t xml:space="preserve"> of HaDSCO</w:t>
      </w:r>
    </w:p>
    <w:p w14:paraId="6E18D289" w14:textId="77777777" w:rsidR="00A35933" w:rsidRDefault="00A35933" w:rsidP="00A35933">
      <w:pPr>
        <w:jc w:val="center"/>
      </w:pPr>
      <w:r>
        <w:rPr>
          <w:noProof/>
          <w:lang w:eastAsia="en-AU"/>
        </w:rPr>
        <w:drawing>
          <wp:inline distT="0" distB="0" distL="0" distR="0" wp14:anchorId="3579F45F" wp14:editId="22A0BC00">
            <wp:extent cx="5832000" cy="5364000"/>
            <wp:effectExtent l="0" t="0" r="16510" b="27305"/>
            <wp:docPr id="61" name="Chart 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951CDC7" w14:textId="77777777" w:rsidR="00A35933" w:rsidRPr="00163500" w:rsidRDefault="00A35933" w:rsidP="00A35933">
      <w:pPr>
        <w:jc w:val="center"/>
        <w:rPr>
          <w:sz w:val="16"/>
          <w:szCs w:val="16"/>
        </w:rPr>
      </w:pPr>
    </w:p>
    <w:p w14:paraId="62501672" w14:textId="77777777" w:rsidR="00A35933" w:rsidRPr="00120331" w:rsidRDefault="00A35933" w:rsidP="00A35933">
      <w:pPr>
        <w:spacing w:after="200" w:line="276" w:lineRule="auto"/>
        <w:rPr>
          <w:i/>
          <w:sz w:val="16"/>
          <w:szCs w:val="16"/>
        </w:rPr>
      </w:pPr>
      <w:r>
        <w:rPr>
          <w:i/>
          <w:sz w:val="16"/>
          <w:szCs w:val="16"/>
        </w:rPr>
        <w:t xml:space="preserve">HaDSCO staff </w:t>
      </w:r>
      <w:r w:rsidRPr="00D27A59">
        <w:rPr>
          <w:i/>
          <w:sz w:val="16"/>
          <w:szCs w:val="16"/>
        </w:rPr>
        <w:t>request this information from individuals who contact HaDSCO to make a complaint. In some instances, this information cannot be collected.</w:t>
      </w:r>
      <w:r w:rsidRPr="0095076F">
        <w:rPr>
          <w:i/>
          <w:sz w:val="16"/>
          <w:szCs w:val="16"/>
        </w:rPr>
        <w:t xml:space="preserve"> </w:t>
      </w:r>
      <w:r>
        <w:rPr>
          <w:i/>
          <w:sz w:val="16"/>
          <w:szCs w:val="16"/>
        </w:rPr>
        <w:t>Totals may not sum to 100% due to rounding.</w:t>
      </w:r>
    </w:p>
    <w:p w14:paraId="39EF7B14" w14:textId="77777777" w:rsidR="00F70F07" w:rsidRDefault="00F70F07" w:rsidP="00F70F07">
      <w:pPr>
        <w:rPr>
          <w:rFonts w:eastAsiaTheme="majorEastAsia" w:cstheme="majorBidi"/>
          <w:b/>
          <w:bCs/>
          <w:iCs/>
        </w:rPr>
      </w:pPr>
    </w:p>
    <w:p w14:paraId="33518628" w14:textId="77777777" w:rsidR="00F70F07" w:rsidRPr="004A0004" w:rsidRDefault="00F70F07" w:rsidP="00F70F07">
      <w:pPr>
        <w:rPr>
          <w:rFonts w:eastAsiaTheme="majorEastAsia" w:cstheme="majorBidi"/>
          <w:b/>
          <w:bCs/>
          <w:iCs/>
        </w:rPr>
      </w:pPr>
      <w:r w:rsidRPr="00917FE9">
        <w:rPr>
          <w:rFonts w:eastAsiaTheme="majorEastAsia" w:cstheme="majorBidi"/>
          <w:b/>
          <w:bCs/>
          <w:iCs/>
        </w:rPr>
        <w:lastRenderedPageBreak/>
        <w:t>Contacting HaDSCO</w:t>
      </w:r>
    </w:p>
    <w:p w14:paraId="599488D7" w14:textId="77777777" w:rsidR="00F70F07" w:rsidRPr="00E27E14" w:rsidRDefault="00F70F07" w:rsidP="00F70F07">
      <w:pPr>
        <w:jc w:val="both"/>
        <w:rPr>
          <w:rFonts w:eastAsiaTheme="majorEastAsia" w:cstheme="majorBidi"/>
          <w:b/>
          <w:bCs/>
          <w:iCs/>
          <w:color w:val="2487C4"/>
        </w:rPr>
      </w:pPr>
    </w:p>
    <w:p w14:paraId="33796623" w14:textId="1B08D5D8" w:rsidR="00A35933" w:rsidRDefault="00A35933" w:rsidP="00A35933">
      <w:pPr>
        <w:rPr>
          <w:rFonts w:eastAsiaTheme="majorEastAsia" w:cstheme="majorBidi"/>
          <w:bCs/>
          <w:color w:val="000000" w:themeColor="text1"/>
        </w:rPr>
      </w:pPr>
      <w:r>
        <w:rPr>
          <w:rFonts w:eastAsiaTheme="majorEastAsia" w:cstheme="majorBidi"/>
          <w:bCs/>
          <w:color w:val="000000" w:themeColor="text1"/>
        </w:rPr>
        <w:t xml:space="preserve">Individuals who want to make a complaint about a health, disability or mental health service can contact our Office in a variety of ways. Initial contact with HaDSCO is typically either by telephone, a complaint form, email or a letter. </w:t>
      </w:r>
    </w:p>
    <w:p w14:paraId="53501B3D" w14:textId="77777777" w:rsidR="00A35933" w:rsidRDefault="00A35933" w:rsidP="00A35933">
      <w:pPr>
        <w:rPr>
          <w:rFonts w:eastAsiaTheme="majorEastAsia" w:cstheme="majorBidi"/>
          <w:bCs/>
          <w:color w:val="000000" w:themeColor="text1"/>
        </w:rPr>
      </w:pPr>
    </w:p>
    <w:p w14:paraId="40316A26" w14:textId="52C3E5A1" w:rsidR="00F70F07" w:rsidRDefault="00A35933" w:rsidP="00A35933">
      <w:pPr>
        <w:rPr>
          <w:rFonts w:eastAsiaTheme="majorEastAsia" w:cstheme="majorBidi"/>
          <w:bCs/>
          <w:iCs/>
        </w:rPr>
      </w:pPr>
      <w:r>
        <w:rPr>
          <w:rFonts w:eastAsiaTheme="majorEastAsia" w:cstheme="majorBidi"/>
          <w:bCs/>
          <w:color w:val="000000" w:themeColor="text1"/>
        </w:rPr>
        <w:t xml:space="preserve">As </w:t>
      </w:r>
      <w:r w:rsidRPr="001448A5">
        <w:rPr>
          <w:rFonts w:eastAsiaTheme="majorEastAsia" w:cstheme="majorBidi"/>
          <w:bCs/>
          <w:color w:val="000000" w:themeColor="text1"/>
        </w:rPr>
        <w:t>shown in F</w:t>
      </w:r>
      <w:r>
        <w:rPr>
          <w:rFonts w:eastAsiaTheme="majorEastAsia" w:cstheme="majorBidi"/>
          <w:bCs/>
          <w:color w:val="000000" w:themeColor="text1"/>
        </w:rPr>
        <w:t>igure 3</w:t>
      </w:r>
      <w:r w:rsidRPr="001448A5">
        <w:rPr>
          <w:rFonts w:eastAsiaTheme="majorEastAsia" w:cstheme="majorBidi"/>
          <w:bCs/>
          <w:color w:val="000000" w:themeColor="text1"/>
        </w:rPr>
        <w:t>, in</w:t>
      </w:r>
      <w:r>
        <w:rPr>
          <w:rFonts w:eastAsiaTheme="majorEastAsia" w:cstheme="majorBidi"/>
          <w:bCs/>
          <w:color w:val="000000" w:themeColor="text1"/>
        </w:rPr>
        <w:t xml:space="preserve"> 2017-18, most complaints were received by telephone, accounting for 79% of complaints </w:t>
      </w:r>
      <w:r w:rsidRPr="002055B8">
        <w:rPr>
          <w:rFonts w:eastAsiaTheme="majorEastAsia" w:cstheme="majorBidi"/>
          <w:bCs/>
        </w:rPr>
        <w:t>received.</w:t>
      </w:r>
      <w:r w:rsidRPr="002055B8">
        <w:rPr>
          <w:rFonts w:eastAsiaTheme="majorEastAsia" w:cstheme="majorBidi"/>
          <w:bCs/>
          <w:iCs/>
        </w:rPr>
        <w:t xml:space="preserve"> </w:t>
      </w:r>
      <w:r>
        <w:rPr>
          <w:rFonts w:eastAsiaTheme="majorEastAsia" w:cstheme="majorBidi"/>
          <w:bCs/>
          <w:iCs/>
        </w:rPr>
        <w:t>Over the past three years there has been a gradual increase in the proportion of complaints received via a written complaint form.</w:t>
      </w:r>
    </w:p>
    <w:p w14:paraId="42C1FE6F" w14:textId="77777777" w:rsidR="00F70F07" w:rsidRDefault="00F70F07" w:rsidP="00F70F07">
      <w:pPr>
        <w:rPr>
          <w:rFonts w:eastAsiaTheme="majorEastAsia" w:cstheme="majorBidi"/>
          <w:bCs/>
          <w:iCs/>
        </w:rPr>
      </w:pPr>
    </w:p>
    <w:p w14:paraId="274ABEDE" w14:textId="6427E1E8" w:rsidR="00F70F07" w:rsidRDefault="00A35933" w:rsidP="00F70F07">
      <w:pPr>
        <w:pStyle w:val="Normal-L3"/>
        <w:spacing w:line="276" w:lineRule="auto"/>
        <w:rPr>
          <w:rFonts w:eastAsiaTheme="majorEastAsia" w:cstheme="majorBidi"/>
          <w:b/>
          <w:bCs/>
          <w:color w:val="000000" w:themeColor="text1"/>
          <w:szCs w:val="24"/>
        </w:rPr>
      </w:pPr>
      <w:r>
        <w:rPr>
          <w:rFonts w:eastAsiaTheme="majorEastAsia" w:cstheme="majorBidi"/>
          <w:b/>
          <w:bCs/>
          <w:color w:val="000000" w:themeColor="text1"/>
          <w:szCs w:val="24"/>
        </w:rPr>
        <w:t>Figure 3</w:t>
      </w:r>
      <w:r w:rsidR="00F70F07" w:rsidRPr="001448A5">
        <w:rPr>
          <w:rFonts w:eastAsiaTheme="majorEastAsia" w:cstheme="majorBidi"/>
          <w:b/>
          <w:bCs/>
          <w:color w:val="000000" w:themeColor="text1"/>
          <w:szCs w:val="24"/>
        </w:rPr>
        <w:t>: Method</w:t>
      </w:r>
      <w:r w:rsidR="00F70F07">
        <w:rPr>
          <w:rFonts w:eastAsiaTheme="majorEastAsia" w:cstheme="majorBidi"/>
          <w:b/>
          <w:bCs/>
          <w:color w:val="000000" w:themeColor="text1"/>
          <w:szCs w:val="24"/>
        </w:rPr>
        <w:t xml:space="preserve"> of contact</w:t>
      </w:r>
    </w:p>
    <w:p w14:paraId="64226526" w14:textId="77777777" w:rsidR="00A35933" w:rsidRPr="001448A5" w:rsidRDefault="00A35933" w:rsidP="00A35933">
      <w:r>
        <w:rPr>
          <w:noProof/>
          <w:lang w:eastAsia="en-AU"/>
        </w:rPr>
        <w:drawing>
          <wp:inline distT="0" distB="0" distL="0" distR="0" wp14:anchorId="1454E6BB" wp14:editId="18245619">
            <wp:extent cx="6055200" cy="2412000"/>
            <wp:effectExtent l="0" t="0" r="22225" b="26670"/>
            <wp:docPr id="59"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68F58F8" w14:textId="77777777" w:rsidR="00A35933" w:rsidRPr="00120331" w:rsidRDefault="00A35933" w:rsidP="00A35933">
      <w:pPr>
        <w:spacing w:after="200" w:line="276" w:lineRule="auto"/>
        <w:rPr>
          <w:i/>
          <w:sz w:val="16"/>
          <w:szCs w:val="16"/>
        </w:rPr>
      </w:pPr>
      <w:r>
        <w:rPr>
          <w:i/>
          <w:sz w:val="16"/>
          <w:szCs w:val="16"/>
        </w:rPr>
        <w:br/>
        <w:t>Totals may not sum to 100% due to rounding.</w:t>
      </w:r>
    </w:p>
    <w:p w14:paraId="385B10B6" w14:textId="77777777" w:rsidR="00114CFC" w:rsidRPr="007F7FE5" w:rsidRDefault="00114CFC" w:rsidP="00114CFC">
      <w:pPr>
        <w:rPr>
          <w:rFonts w:eastAsiaTheme="majorEastAsia" w:cstheme="majorBidi"/>
          <w:bCs/>
          <w:iCs/>
        </w:rPr>
      </w:pPr>
      <w:r w:rsidRPr="007F7FE5">
        <w:rPr>
          <w:rFonts w:eastAsiaTheme="majorEastAsia" w:cstheme="majorBidi"/>
          <w:bCs/>
          <w:color w:val="000000" w:themeColor="text1"/>
        </w:rPr>
        <w:t>As shown in Figure 4, in 2017-18, the majority of complaints (75%) received concerned individuals living in the Perth metropolitan area, as defined by Local Government Areas, while 25% of complaints concerned individuals living in non-metropolitan areas.</w:t>
      </w:r>
    </w:p>
    <w:p w14:paraId="189CE52B" w14:textId="77777777" w:rsidR="00114CFC" w:rsidRPr="007F7FE5" w:rsidRDefault="00114CFC" w:rsidP="00114CFC">
      <w:pPr>
        <w:rPr>
          <w:rFonts w:eastAsiaTheme="majorEastAsia" w:cstheme="majorBidi"/>
          <w:bCs/>
          <w:iCs/>
        </w:rPr>
      </w:pPr>
    </w:p>
    <w:p w14:paraId="56106E4C" w14:textId="77777777" w:rsidR="00114CFC" w:rsidRPr="007F7FE5" w:rsidRDefault="00114CFC" w:rsidP="00114CFC">
      <w:pPr>
        <w:rPr>
          <w:rFonts w:eastAsiaTheme="majorEastAsia" w:cstheme="majorBidi"/>
          <w:bCs/>
          <w:iCs/>
        </w:rPr>
      </w:pPr>
      <w:r w:rsidRPr="007F7FE5">
        <w:rPr>
          <w:rFonts w:eastAsiaTheme="majorEastAsia" w:cstheme="majorBidi"/>
          <w:bCs/>
          <w:iCs/>
        </w:rPr>
        <w:t>Comparing the proportion of complaints received by the Office in 2017-18 to the population distribution across Western Australia</w:t>
      </w:r>
      <w:r w:rsidRPr="007F7FE5">
        <w:rPr>
          <w:rStyle w:val="FootnoteReference"/>
          <w:rFonts w:eastAsiaTheme="majorEastAsia" w:cstheme="majorBidi"/>
          <w:bCs/>
          <w:iCs/>
        </w:rPr>
        <w:footnoteReference w:id="1"/>
      </w:r>
      <w:r w:rsidRPr="007F7FE5">
        <w:rPr>
          <w:rFonts w:eastAsiaTheme="majorEastAsia" w:cstheme="majorBidi"/>
          <w:bCs/>
          <w:iCs/>
        </w:rPr>
        <w:t xml:space="preserve"> indicates that the various metropolitan areas and the non-metropolitan area all account for a proportion of complaints generally consistent with their proportion of the population.</w:t>
      </w:r>
    </w:p>
    <w:p w14:paraId="4F6444FB" w14:textId="77777777" w:rsidR="00114CFC" w:rsidRDefault="00114CFC" w:rsidP="00114CFC">
      <w:pPr>
        <w:pStyle w:val="Normal-L3"/>
        <w:spacing w:line="276" w:lineRule="auto"/>
        <w:rPr>
          <w:rFonts w:eastAsiaTheme="majorEastAsia" w:cstheme="majorBidi"/>
          <w:b/>
          <w:bCs/>
          <w:color w:val="000000" w:themeColor="text1"/>
          <w:szCs w:val="24"/>
        </w:rPr>
      </w:pPr>
    </w:p>
    <w:p w14:paraId="54B73630" w14:textId="77777777" w:rsidR="00114CFC" w:rsidRDefault="00114CFC" w:rsidP="00114CFC">
      <w:pPr>
        <w:pStyle w:val="Normal-L3"/>
        <w:spacing w:line="276" w:lineRule="auto"/>
        <w:rPr>
          <w:rFonts w:eastAsiaTheme="majorEastAsia" w:cstheme="majorBidi"/>
          <w:b/>
          <w:bCs/>
          <w:color w:val="000000" w:themeColor="text1"/>
          <w:szCs w:val="24"/>
        </w:rPr>
      </w:pPr>
    </w:p>
    <w:p w14:paraId="13A6A396" w14:textId="77777777" w:rsidR="00114CFC" w:rsidRDefault="00114CFC" w:rsidP="00114CFC">
      <w:pPr>
        <w:pStyle w:val="Normal-L3"/>
        <w:spacing w:line="276" w:lineRule="auto"/>
        <w:rPr>
          <w:rFonts w:eastAsiaTheme="majorEastAsia" w:cstheme="majorBidi"/>
          <w:b/>
          <w:bCs/>
          <w:color w:val="000000" w:themeColor="text1"/>
          <w:szCs w:val="24"/>
        </w:rPr>
      </w:pPr>
    </w:p>
    <w:p w14:paraId="7ADE644A" w14:textId="77777777" w:rsidR="00114CFC" w:rsidRDefault="00114CFC" w:rsidP="00114CFC">
      <w:pPr>
        <w:pStyle w:val="Normal-L3"/>
        <w:spacing w:line="276" w:lineRule="auto"/>
        <w:rPr>
          <w:rFonts w:eastAsiaTheme="majorEastAsia" w:cstheme="majorBidi"/>
          <w:b/>
          <w:bCs/>
          <w:color w:val="000000" w:themeColor="text1"/>
          <w:szCs w:val="24"/>
        </w:rPr>
      </w:pPr>
    </w:p>
    <w:p w14:paraId="40BA70EE" w14:textId="77777777" w:rsidR="00114CFC" w:rsidRDefault="00114CFC" w:rsidP="00114CFC">
      <w:pPr>
        <w:pStyle w:val="Normal-L3"/>
        <w:spacing w:line="276" w:lineRule="auto"/>
        <w:rPr>
          <w:rFonts w:eastAsiaTheme="majorEastAsia" w:cstheme="majorBidi"/>
          <w:b/>
          <w:bCs/>
          <w:color w:val="000000" w:themeColor="text1"/>
          <w:szCs w:val="24"/>
        </w:rPr>
      </w:pPr>
    </w:p>
    <w:p w14:paraId="4B8B32A7" w14:textId="77777777" w:rsidR="00114CFC" w:rsidRDefault="00114CFC" w:rsidP="00114CFC">
      <w:pPr>
        <w:spacing w:after="200" w:line="276" w:lineRule="auto"/>
        <w:rPr>
          <w:rFonts w:eastAsiaTheme="majorEastAsia" w:cstheme="majorBidi"/>
          <w:b/>
          <w:bCs/>
          <w:color w:val="000000" w:themeColor="text1"/>
        </w:rPr>
      </w:pPr>
      <w:r>
        <w:rPr>
          <w:rFonts w:eastAsiaTheme="majorEastAsia" w:cstheme="majorBidi"/>
          <w:b/>
          <w:bCs/>
          <w:color w:val="000000" w:themeColor="text1"/>
        </w:rPr>
        <w:br w:type="page"/>
      </w:r>
    </w:p>
    <w:p w14:paraId="3623027E" w14:textId="77777777" w:rsidR="00114CFC" w:rsidRDefault="00114CFC" w:rsidP="00114CFC">
      <w:pPr>
        <w:pStyle w:val="Normal-L3"/>
        <w:spacing w:line="276" w:lineRule="auto"/>
        <w:rPr>
          <w:rFonts w:eastAsiaTheme="majorEastAsia" w:cstheme="majorBidi"/>
          <w:b/>
          <w:bCs/>
          <w:color w:val="000000" w:themeColor="text1"/>
          <w:szCs w:val="24"/>
        </w:rPr>
      </w:pPr>
      <w:r w:rsidRPr="001448A5">
        <w:rPr>
          <w:rFonts w:eastAsiaTheme="majorEastAsia" w:cstheme="majorBidi"/>
          <w:b/>
          <w:bCs/>
          <w:color w:val="000000" w:themeColor="text1"/>
          <w:szCs w:val="24"/>
        </w:rPr>
        <w:lastRenderedPageBreak/>
        <w:t xml:space="preserve">Figure </w:t>
      </w:r>
      <w:r>
        <w:rPr>
          <w:rFonts w:eastAsiaTheme="majorEastAsia" w:cstheme="majorBidi"/>
          <w:b/>
          <w:bCs/>
          <w:color w:val="000000" w:themeColor="text1"/>
          <w:szCs w:val="24"/>
        </w:rPr>
        <w:t>4</w:t>
      </w:r>
      <w:r w:rsidRPr="001448A5">
        <w:rPr>
          <w:rFonts w:eastAsiaTheme="majorEastAsia" w:cstheme="majorBidi"/>
          <w:b/>
          <w:bCs/>
          <w:color w:val="000000" w:themeColor="text1"/>
          <w:szCs w:val="24"/>
        </w:rPr>
        <w:t xml:space="preserve">: </w:t>
      </w:r>
      <w:r>
        <w:rPr>
          <w:rFonts w:eastAsiaTheme="majorEastAsia" w:cstheme="majorBidi"/>
          <w:b/>
          <w:bCs/>
          <w:color w:val="000000" w:themeColor="text1"/>
          <w:szCs w:val="24"/>
        </w:rPr>
        <w:t>Geographic distribution of individuals receiving a service (2017-18)</w:t>
      </w:r>
    </w:p>
    <w:p w14:paraId="78235CBC" w14:textId="77777777" w:rsidR="00114CFC" w:rsidRDefault="00114CFC" w:rsidP="00114CFC">
      <w:r>
        <w:rPr>
          <w:noProof/>
          <w:lang w:eastAsia="en-AU"/>
        </w:rPr>
        <mc:AlternateContent>
          <mc:Choice Requires="wps">
            <w:drawing>
              <wp:anchor distT="0" distB="0" distL="114300" distR="114300" simplePos="0" relativeHeight="252705792" behindDoc="0" locked="0" layoutInCell="1" allowOverlap="1" wp14:anchorId="25527A72" wp14:editId="68302C6C">
                <wp:simplePos x="0" y="0"/>
                <wp:positionH relativeFrom="column">
                  <wp:posOffset>428625</wp:posOffset>
                </wp:positionH>
                <wp:positionV relativeFrom="paragraph">
                  <wp:posOffset>370205</wp:posOffset>
                </wp:positionV>
                <wp:extent cx="3143250" cy="1552575"/>
                <wp:effectExtent l="0" t="0" r="0" b="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0" cy="1552575"/>
                        </a:xfrm>
                        <a:prstGeom prst="rect">
                          <a:avLst/>
                        </a:prstGeom>
                        <a:noFill/>
                        <a:ln w="9525">
                          <a:noFill/>
                          <a:miter lim="800000"/>
                          <a:headEnd/>
                          <a:tailEnd/>
                        </a:ln>
                      </wps:spPr>
                      <wps:txbx>
                        <w:txbxContent>
                          <w:tbl>
                            <w:tblPr>
                              <w:tblW w:w="4819" w:type="dxa"/>
                              <w:tblCellMar>
                                <w:left w:w="0" w:type="dxa"/>
                                <w:right w:w="0" w:type="dxa"/>
                              </w:tblCellMar>
                              <w:tblLook w:val="04A0" w:firstRow="1" w:lastRow="0" w:firstColumn="1" w:lastColumn="0" w:noHBand="0" w:noVBand="1"/>
                            </w:tblPr>
                            <w:tblGrid>
                              <w:gridCol w:w="1814"/>
                              <w:gridCol w:w="907"/>
                              <w:gridCol w:w="907"/>
                              <w:gridCol w:w="1191"/>
                            </w:tblGrid>
                            <w:tr w:rsidR="00A03A05" w:rsidRPr="00585AB7" w14:paraId="313303DA" w14:textId="77777777" w:rsidTr="0084573E">
                              <w:trPr>
                                <w:trHeight w:val="295"/>
                              </w:trPr>
                              <w:tc>
                                <w:tcPr>
                                  <w:tcW w:w="1814" w:type="dxa"/>
                                  <w:tcBorders>
                                    <w:top w:val="single" w:sz="8" w:space="0" w:color="000000"/>
                                    <w:left w:val="single" w:sz="8" w:space="0" w:color="000000"/>
                                    <w:bottom w:val="single" w:sz="18" w:space="0" w:color="FFFFFF" w:themeColor="background1"/>
                                    <w:right w:val="single" w:sz="8" w:space="0" w:color="FFFFFF"/>
                                  </w:tcBorders>
                                  <w:shd w:val="clear" w:color="auto" w:fill="000000"/>
                                  <w:tcMar>
                                    <w:top w:w="15" w:type="dxa"/>
                                    <w:left w:w="108" w:type="dxa"/>
                                    <w:bottom w:w="0" w:type="dxa"/>
                                    <w:right w:w="108" w:type="dxa"/>
                                  </w:tcMar>
                                  <w:vAlign w:val="center"/>
                                  <w:hideMark/>
                                </w:tcPr>
                                <w:p w14:paraId="4F6319D1" w14:textId="77777777" w:rsidR="00A03A05" w:rsidRPr="002D4000" w:rsidRDefault="00A03A05" w:rsidP="0084573E">
                                  <w:pPr>
                                    <w:spacing w:before="10" w:after="10"/>
                                    <w:rPr>
                                      <w:b/>
                                      <w:sz w:val="16"/>
                                      <w:szCs w:val="16"/>
                                    </w:rPr>
                                  </w:pPr>
                                  <w:r>
                                    <w:rPr>
                                      <w:b/>
                                      <w:bCs/>
                                      <w:sz w:val="16"/>
                                      <w:szCs w:val="16"/>
                                    </w:rPr>
                                    <w:t>R</w:t>
                                  </w:r>
                                  <w:r w:rsidRPr="002D4000">
                                    <w:rPr>
                                      <w:b/>
                                      <w:bCs/>
                                      <w:sz w:val="16"/>
                                      <w:szCs w:val="16"/>
                                    </w:rPr>
                                    <w:t>egion</w:t>
                                  </w:r>
                                </w:p>
                              </w:tc>
                              <w:tc>
                                <w:tcPr>
                                  <w:tcW w:w="907" w:type="dxa"/>
                                  <w:tcBorders>
                                    <w:top w:val="single" w:sz="8" w:space="0" w:color="000000"/>
                                    <w:left w:val="single" w:sz="8" w:space="0" w:color="FFFFFF"/>
                                    <w:bottom w:val="single" w:sz="18" w:space="0" w:color="FFFFFF" w:themeColor="background1"/>
                                    <w:right w:val="single" w:sz="8" w:space="0" w:color="FFFFFF"/>
                                  </w:tcBorders>
                                  <w:shd w:val="clear" w:color="auto" w:fill="000000"/>
                                  <w:tcMar>
                                    <w:top w:w="15" w:type="dxa"/>
                                    <w:left w:w="108" w:type="dxa"/>
                                    <w:bottom w:w="0" w:type="dxa"/>
                                    <w:right w:w="108" w:type="dxa"/>
                                  </w:tcMar>
                                  <w:vAlign w:val="center"/>
                                  <w:hideMark/>
                                </w:tcPr>
                                <w:p w14:paraId="27E23694" w14:textId="77777777" w:rsidR="00A03A05" w:rsidRPr="002D4000" w:rsidRDefault="00A03A05" w:rsidP="0084573E">
                                  <w:pPr>
                                    <w:spacing w:before="10" w:after="10"/>
                                    <w:jc w:val="center"/>
                                    <w:rPr>
                                      <w:b/>
                                      <w:sz w:val="16"/>
                                      <w:szCs w:val="16"/>
                                    </w:rPr>
                                  </w:pPr>
                                  <w:r>
                                    <w:rPr>
                                      <w:b/>
                                      <w:bCs/>
                                      <w:sz w:val="16"/>
                                      <w:szCs w:val="16"/>
                                    </w:rPr>
                                    <w:t>#</w:t>
                                  </w:r>
                                </w:p>
                              </w:tc>
                              <w:tc>
                                <w:tcPr>
                                  <w:tcW w:w="907" w:type="dxa"/>
                                  <w:tcBorders>
                                    <w:top w:val="single" w:sz="8" w:space="0" w:color="000000"/>
                                    <w:left w:val="single" w:sz="8" w:space="0" w:color="FFFFFF"/>
                                    <w:bottom w:val="single" w:sz="18" w:space="0" w:color="FFFFFF" w:themeColor="background1"/>
                                    <w:right w:val="single" w:sz="12" w:space="0" w:color="auto"/>
                                  </w:tcBorders>
                                  <w:shd w:val="clear" w:color="auto" w:fill="000000"/>
                                  <w:tcMar>
                                    <w:top w:w="15" w:type="dxa"/>
                                    <w:left w:w="108" w:type="dxa"/>
                                    <w:bottom w:w="0" w:type="dxa"/>
                                    <w:right w:w="108" w:type="dxa"/>
                                  </w:tcMar>
                                  <w:vAlign w:val="center"/>
                                  <w:hideMark/>
                                </w:tcPr>
                                <w:p w14:paraId="2C548277" w14:textId="77777777" w:rsidR="00A03A05" w:rsidRPr="002D4000" w:rsidRDefault="00A03A05" w:rsidP="0084573E">
                                  <w:pPr>
                                    <w:spacing w:before="10" w:after="10"/>
                                    <w:jc w:val="center"/>
                                    <w:rPr>
                                      <w:b/>
                                      <w:sz w:val="16"/>
                                      <w:szCs w:val="16"/>
                                    </w:rPr>
                                  </w:pPr>
                                  <w:r>
                                    <w:rPr>
                                      <w:b/>
                                      <w:sz w:val="16"/>
                                      <w:szCs w:val="16"/>
                                    </w:rPr>
                                    <w:t>%</w:t>
                                  </w:r>
                                </w:p>
                              </w:tc>
                              <w:tc>
                                <w:tcPr>
                                  <w:tcW w:w="1191" w:type="dxa"/>
                                  <w:tcBorders>
                                    <w:top w:val="single" w:sz="12" w:space="0" w:color="auto"/>
                                    <w:left w:val="single" w:sz="12" w:space="0" w:color="auto"/>
                                    <w:bottom w:val="single" w:sz="8" w:space="0" w:color="FFFFFF" w:themeColor="background1"/>
                                    <w:right w:val="single" w:sz="12" w:space="0" w:color="auto"/>
                                  </w:tcBorders>
                                  <w:shd w:val="clear" w:color="auto" w:fill="000000"/>
                                  <w:vAlign w:val="center"/>
                                </w:tcPr>
                                <w:p w14:paraId="411DD9A2" w14:textId="77777777" w:rsidR="00A03A05" w:rsidRPr="00A41384" w:rsidRDefault="00A03A05" w:rsidP="0084573E">
                                  <w:pPr>
                                    <w:spacing w:before="10" w:after="10"/>
                                    <w:jc w:val="center"/>
                                    <w:rPr>
                                      <w:b/>
                                      <w:bCs/>
                                      <w:i/>
                                      <w:sz w:val="16"/>
                                      <w:szCs w:val="16"/>
                                    </w:rPr>
                                  </w:pPr>
                                  <w:r w:rsidRPr="00A41384">
                                    <w:rPr>
                                      <w:b/>
                                      <w:bCs/>
                                      <w:i/>
                                      <w:sz w:val="16"/>
                                      <w:szCs w:val="16"/>
                                    </w:rPr>
                                    <w:t>Population %</w:t>
                                  </w:r>
                                </w:p>
                              </w:tc>
                            </w:tr>
                            <w:tr w:rsidR="00A03A05" w:rsidRPr="00585AB7" w14:paraId="38C4CB30" w14:textId="77777777" w:rsidTr="0084573E">
                              <w:trPr>
                                <w:trHeight w:val="250"/>
                              </w:trPr>
                              <w:tc>
                                <w:tcPr>
                                  <w:tcW w:w="1814" w:type="dxa"/>
                                  <w:tcBorders>
                                    <w:top w:val="single" w:sz="18" w:space="0" w:color="FFFFFF" w:themeColor="background1"/>
                                    <w:left w:val="single" w:sz="8" w:space="0" w:color="000000"/>
                                    <w:bottom w:val="single" w:sz="8" w:space="0" w:color="FFFFFF"/>
                                    <w:right w:val="single" w:sz="8" w:space="0" w:color="FFFFFF"/>
                                  </w:tcBorders>
                                  <w:shd w:val="clear" w:color="auto" w:fill="C3C3C3"/>
                                  <w:tcMar>
                                    <w:top w:w="15" w:type="dxa"/>
                                    <w:left w:w="108" w:type="dxa"/>
                                    <w:bottom w:w="0" w:type="dxa"/>
                                    <w:right w:w="108" w:type="dxa"/>
                                  </w:tcMar>
                                  <w:vAlign w:val="center"/>
                                  <w:hideMark/>
                                </w:tcPr>
                                <w:p w14:paraId="0D27A089" w14:textId="77777777" w:rsidR="00A03A05" w:rsidRPr="00157ADC" w:rsidRDefault="00A03A05" w:rsidP="0084573E">
                                  <w:pPr>
                                    <w:spacing w:before="10" w:after="10"/>
                                    <w:rPr>
                                      <w:sz w:val="16"/>
                                      <w:szCs w:val="16"/>
                                    </w:rPr>
                                  </w:pPr>
                                  <w:r>
                                    <w:rPr>
                                      <w:b/>
                                      <w:bCs/>
                                      <w:sz w:val="16"/>
                                      <w:szCs w:val="16"/>
                                    </w:rPr>
                                    <w:t>(1) Northw</w:t>
                                  </w:r>
                                  <w:r w:rsidRPr="00157ADC">
                                    <w:rPr>
                                      <w:b/>
                                      <w:bCs/>
                                      <w:sz w:val="16"/>
                                      <w:szCs w:val="16"/>
                                    </w:rPr>
                                    <w:t>est</w:t>
                                  </w:r>
                                </w:p>
                              </w:tc>
                              <w:tc>
                                <w:tcPr>
                                  <w:tcW w:w="907" w:type="dxa"/>
                                  <w:tcBorders>
                                    <w:top w:val="single" w:sz="18" w:space="0" w:color="FFFFFF" w:themeColor="background1"/>
                                    <w:left w:val="single" w:sz="8" w:space="0" w:color="FFFFFF"/>
                                    <w:bottom w:val="single" w:sz="8" w:space="0" w:color="FFFFFF"/>
                                    <w:right w:val="single" w:sz="8" w:space="0" w:color="FFFFFF"/>
                                  </w:tcBorders>
                                  <w:shd w:val="clear" w:color="auto" w:fill="C3C3C3"/>
                                  <w:tcMar>
                                    <w:top w:w="15" w:type="dxa"/>
                                    <w:left w:w="108" w:type="dxa"/>
                                    <w:bottom w:w="0" w:type="dxa"/>
                                    <w:right w:w="108" w:type="dxa"/>
                                  </w:tcMar>
                                  <w:vAlign w:val="center"/>
                                </w:tcPr>
                                <w:p w14:paraId="44464F2F" w14:textId="77777777" w:rsidR="00A03A05" w:rsidRPr="00157ADC" w:rsidRDefault="00A03A05" w:rsidP="0084573E">
                                  <w:pPr>
                                    <w:spacing w:before="10" w:after="10"/>
                                    <w:jc w:val="center"/>
                                    <w:rPr>
                                      <w:sz w:val="16"/>
                                      <w:szCs w:val="16"/>
                                    </w:rPr>
                                  </w:pPr>
                                  <w:r>
                                    <w:rPr>
                                      <w:sz w:val="16"/>
                                      <w:szCs w:val="16"/>
                                    </w:rPr>
                                    <w:t>270</w:t>
                                  </w:r>
                                </w:p>
                              </w:tc>
                              <w:tc>
                                <w:tcPr>
                                  <w:tcW w:w="907" w:type="dxa"/>
                                  <w:tcBorders>
                                    <w:top w:val="single" w:sz="18" w:space="0" w:color="FFFFFF" w:themeColor="background1"/>
                                    <w:left w:val="single" w:sz="8" w:space="0" w:color="FFFFFF"/>
                                    <w:bottom w:val="single" w:sz="8" w:space="0" w:color="FFFFFF"/>
                                    <w:right w:val="single" w:sz="12" w:space="0" w:color="auto"/>
                                  </w:tcBorders>
                                  <w:shd w:val="clear" w:color="auto" w:fill="C3C3C3"/>
                                  <w:tcMar>
                                    <w:top w:w="15" w:type="dxa"/>
                                    <w:left w:w="108" w:type="dxa"/>
                                    <w:bottom w:w="0" w:type="dxa"/>
                                    <w:right w:w="108" w:type="dxa"/>
                                  </w:tcMar>
                                  <w:vAlign w:val="center"/>
                                </w:tcPr>
                                <w:p w14:paraId="58588661" w14:textId="77777777" w:rsidR="00A03A05" w:rsidRPr="00157ADC" w:rsidRDefault="00A03A05" w:rsidP="0084573E">
                                  <w:pPr>
                                    <w:spacing w:before="10" w:after="10"/>
                                    <w:jc w:val="center"/>
                                    <w:rPr>
                                      <w:sz w:val="16"/>
                                      <w:szCs w:val="16"/>
                                    </w:rPr>
                                  </w:pPr>
                                  <w:r>
                                    <w:rPr>
                                      <w:sz w:val="16"/>
                                      <w:szCs w:val="16"/>
                                    </w:rPr>
                                    <w:t>20.6%</w:t>
                                  </w:r>
                                </w:p>
                              </w:tc>
                              <w:tc>
                                <w:tcPr>
                                  <w:tcW w:w="1191" w:type="dxa"/>
                                  <w:tcBorders>
                                    <w:top w:val="single" w:sz="8" w:space="0" w:color="FFFFFF" w:themeColor="background1"/>
                                    <w:left w:val="single" w:sz="12" w:space="0" w:color="auto"/>
                                    <w:bottom w:val="single" w:sz="8" w:space="0" w:color="FFFFFF" w:themeColor="background1"/>
                                    <w:right w:val="single" w:sz="12" w:space="0" w:color="auto"/>
                                  </w:tcBorders>
                                  <w:shd w:val="clear" w:color="auto" w:fill="C3C3C3"/>
                                  <w:vAlign w:val="center"/>
                                </w:tcPr>
                                <w:p w14:paraId="57281BF1" w14:textId="77777777" w:rsidR="00A03A05" w:rsidRPr="00A41384" w:rsidRDefault="00A03A05" w:rsidP="0084573E">
                                  <w:pPr>
                                    <w:spacing w:before="10" w:after="10"/>
                                    <w:jc w:val="center"/>
                                    <w:rPr>
                                      <w:bCs/>
                                      <w:i/>
                                      <w:sz w:val="16"/>
                                      <w:szCs w:val="16"/>
                                    </w:rPr>
                                  </w:pPr>
                                  <w:r w:rsidRPr="00A41384">
                                    <w:rPr>
                                      <w:bCs/>
                                      <w:i/>
                                      <w:sz w:val="16"/>
                                      <w:szCs w:val="16"/>
                                    </w:rPr>
                                    <w:t>21.8%</w:t>
                                  </w:r>
                                </w:p>
                              </w:tc>
                            </w:tr>
                            <w:tr w:rsidR="00A03A05" w:rsidRPr="00585AB7" w14:paraId="3108337D" w14:textId="77777777" w:rsidTr="0084573E">
                              <w:trPr>
                                <w:trHeight w:val="250"/>
                              </w:trPr>
                              <w:tc>
                                <w:tcPr>
                                  <w:tcW w:w="1814" w:type="dxa"/>
                                  <w:tcBorders>
                                    <w:top w:val="single" w:sz="8" w:space="0" w:color="FFFFFF"/>
                                    <w:left w:val="single" w:sz="8" w:space="0" w:color="000000"/>
                                    <w:bottom w:val="single" w:sz="8" w:space="0" w:color="FFFFFF"/>
                                    <w:right w:val="single" w:sz="8" w:space="0" w:color="FFFFFF"/>
                                  </w:tcBorders>
                                  <w:shd w:val="clear" w:color="auto" w:fill="F8FCFF"/>
                                  <w:tcMar>
                                    <w:top w:w="15" w:type="dxa"/>
                                    <w:left w:w="108" w:type="dxa"/>
                                    <w:bottom w:w="0" w:type="dxa"/>
                                    <w:right w:w="108" w:type="dxa"/>
                                  </w:tcMar>
                                  <w:vAlign w:val="center"/>
                                  <w:hideMark/>
                                </w:tcPr>
                                <w:p w14:paraId="70B3B3B8" w14:textId="77777777" w:rsidR="00A03A05" w:rsidRPr="00157ADC" w:rsidRDefault="00A03A05" w:rsidP="0084573E">
                                  <w:pPr>
                                    <w:spacing w:before="10" w:after="10"/>
                                    <w:rPr>
                                      <w:sz w:val="16"/>
                                      <w:szCs w:val="16"/>
                                    </w:rPr>
                                  </w:pPr>
                                  <w:r>
                                    <w:rPr>
                                      <w:b/>
                                      <w:bCs/>
                                      <w:sz w:val="16"/>
                                      <w:szCs w:val="16"/>
                                    </w:rPr>
                                    <w:t>(2) Northeast</w:t>
                                  </w:r>
                                </w:p>
                              </w:tc>
                              <w:tc>
                                <w:tcPr>
                                  <w:tcW w:w="907" w:type="dxa"/>
                                  <w:tcBorders>
                                    <w:top w:val="single" w:sz="8" w:space="0" w:color="FFFFFF"/>
                                    <w:left w:val="single" w:sz="8" w:space="0" w:color="FFFFFF"/>
                                    <w:bottom w:val="single" w:sz="8" w:space="0" w:color="FFFFFF"/>
                                    <w:right w:val="single" w:sz="8" w:space="0" w:color="FFFFFF"/>
                                  </w:tcBorders>
                                  <w:shd w:val="clear" w:color="auto" w:fill="F8FCFF"/>
                                  <w:tcMar>
                                    <w:top w:w="15" w:type="dxa"/>
                                    <w:left w:w="108" w:type="dxa"/>
                                    <w:bottom w:w="0" w:type="dxa"/>
                                    <w:right w:w="108" w:type="dxa"/>
                                  </w:tcMar>
                                  <w:vAlign w:val="center"/>
                                </w:tcPr>
                                <w:p w14:paraId="39029E65" w14:textId="77777777" w:rsidR="00A03A05" w:rsidRPr="00157ADC" w:rsidRDefault="00A03A05" w:rsidP="0084573E">
                                  <w:pPr>
                                    <w:spacing w:before="10" w:after="10"/>
                                    <w:jc w:val="center"/>
                                    <w:rPr>
                                      <w:sz w:val="16"/>
                                      <w:szCs w:val="16"/>
                                    </w:rPr>
                                  </w:pPr>
                                  <w:r>
                                    <w:rPr>
                                      <w:sz w:val="16"/>
                                      <w:szCs w:val="16"/>
                                    </w:rPr>
                                    <w:t>121</w:t>
                                  </w:r>
                                </w:p>
                              </w:tc>
                              <w:tc>
                                <w:tcPr>
                                  <w:tcW w:w="907" w:type="dxa"/>
                                  <w:tcBorders>
                                    <w:top w:val="single" w:sz="8" w:space="0" w:color="FFFFFF"/>
                                    <w:left w:val="single" w:sz="8" w:space="0" w:color="FFFFFF"/>
                                    <w:bottom w:val="single" w:sz="8" w:space="0" w:color="FFFFFF"/>
                                    <w:right w:val="single" w:sz="12" w:space="0" w:color="auto"/>
                                  </w:tcBorders>
                                  <w:shd w:val="clear" w:color="auto" w:fill="F8FCFF"/>
                                  <w:tcMar>
                                    <w:top w:w="15" w:type="dxa"/>
                                    <w:left w:w="108" w:type="dxa"/>
                                    <w:bottom w:w="0" w:type="dxa"/>
                                    <w:right w:w="108" w:type="dxa"/>
                                  </w:tcMar>
                                  <w:vAlign w:val="center"/>
                                </w:tcPr>
                                <w:p w14:paraId="3483489B" w14:textId="77777777" w:rsidR="00A03A05" w:rsidRPr="00157ADC" w:rsidRDefault="00A03A05" w:rsidP="0084573E">
                                  <w:pPr>
                                    <w:spacing w:before="10" w:after="10"/>
                                    <w:jc w:val="center"/>
                                    <w:rPr>
                                      <w:sz w:val="16"/>
                                      <w:szCs w:val="16"/>
                                    </w:rPr>
                                  </w:pPr>
                                  <w:r>
                                    <w:rPr>
                                      <w:sz w:val="16"/>
                                      <w:szCs w:val="16"/>
                                    </w:rPr>
                                    <w:t>9.2%</w:t>
                                  </w:r>
                                </w:p>
                              </w:tc>
                              <w:tc>
                                <w:tcPr>
                                  <w:tcW w:w="1191" w:type="dxa"/>
                                  <w:tcBorders>
                                    <w:top w:val="single" w:sz="8" w:space="0" w:color="FFFFFF" w:themeColor="background1"/>
                                    <w:left w:val="single" w:sz="12" w:space="0" w:color="auto"/>
                                    <w:bottom w:val="single" w:sz="8" w:space="0" w:color="FFFFFF" w:themeColor="background1"/>
                                    <w:right w:val="single" w:sz="12" w:space="0" w:color="auto"/>
                                  </w:tcBorders>
                                  <w:shd w:val="clear" w:color="auto" w:fill="F8FCFF"/>
                                  <w:vAlign w:val="center"/>
                                </w:tcPr>
                                <w:p w14:paraId="2B8539D4" w14:textId="77777777" w:rsidR="00A03A05" w:rsidRPr="00A41384" w:rsidRDefault="00A03A05" w:rsidP="0084573E">
                                  <w:pPr>
                                    <w:spacing w:before="10" w:after="10"/>
                                    <w:jc w:val="center"/>
                                    <w:rPr>
                                      <w:bCs/>
                                      <w:i/>
                                      <w:sz w:val="16"/>
                                      <w:szCs w:val="16"/>
                                    </w:rPr>
                                  </w:pPr>
                                  <w:r w:rsidRPr="00A41384">
                                    <w:rPr>
                                      <w:bCs/>
                                      <w:i/>
                                      <w:sz w:val="16"/>
                                      <w:szCs w:val="16"/>
                                    </w:rPr>
                                    <w:t>10.2%</w:t>
                                  </w:r>
                                </w:p>
                              </w:tc>
                            </w:tr>
                            <w:tr w:rsidR="00A03A05" w:rsidRPr="00585AB7" w14:paraId="4CEF832B" w14:textId="77777777" w:rsidTr="0084573E">
                              <w:trPr>
                                <w:trHeight w:val="250"/>
                              </w:trPr>
                              <w:tc>
                                <w:tcPr>
                                  <w:tcW w:w="1814" w:type="dxa"/>
                                  <w:tcBorders>
                                    <w:top w:val="single" w:sz="8" w:space="0" w:color="FFFFFF"/>
                                    <w:left w:val="single" w:sz="8" w:space="0" w:color="000000"/>
                                    <w:bottom w:val="single" w:sz="8" w:space="0" w:color="FFFFFF"/>
                                    <w:right w:val="single" w:sz="8" w:space="0" w:color="FFFFFF"/>
                                  </w:tcBorders>
                                  <w:shd w:val="clear" w:color="auto" w:fill="2D476D"/>
                                  <w:tcMar>
                                    <w:top w:w="15" w:type="dxa"/>
                                    <w:left w:w="108" w:type="dxa"/>
                                    <w:bottom w:w="0" w:type="dxa"/>
                                    <w:right w:w="108" w:type="dxa"/>
                                  </w:tcMar>
                                  <w:vAlign w:val="center"/>
                                  <w:hideMark/>
                                </w:tcPr>
                                <w:p w14:paraId="22AC021A" w14:textId="77777777" w:rsidR="00A03A05" w:rsidRPr="00157ADC" w:rsidRDefault="00A03A05" w:rsidP="0084573E">
                                  <w:pPr>
                                    <w:spacing w:before="10" w:after="10"/>
                                    <w:rPr>
                                      <w:color w:val="FFFFFF" w:themeColor="background1"/>
                                      <w:sz w:val="16"/>
                                      <w:szCs w:val="16"/>
                                    </w:rPr>
                                  </w:pPr>
                                  <w:r>
                                    <w:rPr>
                                      <w:b/>
                                      <w:bCs/>
                                      <w:color w:val="FFFFFF" w:themeColor="background1"/>
                                      <w:sz w:val="16"/>
                                      <w:szCs w:val="16"/>
                                    </w:rPr>
                                    <w:t xml:space="preserve">(3) </w:t>
                                  </w:r>
                                  <w:r w:rsidRPr="00157ADC">
                                    <w:rPr>
                                      <w:b/>
                                      <w:bCs/>
                                      <w:color w:val="FFFFFF" w:themeColor="background1"/>
                                      <w:sz w:val="16"/>
                                      <w:szCs w:val="16"/>
                                    </w:rPr>
                                    <w:t>Central</w:t>
                                  </w:r>
                                </w:p>
                              </w:tc>
                              <w:tc>
                                <w:tcPr>
                                  <w:tcW w:w="907" w:type="dxa"/>
                                  <w:tcBorders>
                                    <w:top w:val="single" w:sz="8" w:space="0" w:color="FFFFFF"/>
                                    <w:left w:val="single" w:sz="8" w:space="0" w:color="FFFFFF"/>
                                    <w:bottom w:val="single" w:sz="8" w:space="0" w:color="FFFFFF"/>
                                    <w:right w:val="single" w:sz="8" w:space="0" w:color="FFFFFF"/>
                                  </w:tcBorders>
                                  <w:shd w:val="clear" w:color="auto" w:fill="2D476D"/>
                                  <w:tcMar>
                                    <w:top w:w="15" w:type="dxa"/>
                                    <w:left w:w="108" w:type="dxa"/>
                                    <w:bottom w:w="0" w:type="dxa"/>
                                    <w:right w:w="108" w:type="dxa"/>
                                  </w:tcMar>
                                  <w:vAlign w:val="center"/>
                                </w:tcPr>
                                <w:p w14:paraId="3BD9620F" w14:textId="77777777" w:rsidR="00A03A05" w:rsidRPr="00157ADC" w:rsidRDefault="00A03A05" w:rsidP="0084573E">
                                  <w:pPr>
                                    <w:spacing w:before="10" w:after="10"/>
                                    <w:jc w:val="center"/>
                                    <w:rPr>
                                      <w:color w:val="FFFFFF" w:themeColor="background1"/>
                                      <w:sz w:val="16"/>
                                      <w:szCs w:val="16"/>
                                    </w:rPr>
                                  </w:pPr>
                                  <w:r>
                                    <w:rPr>
                                      <w:color w:val="FFFFFF" w:themeColor="background1"/>
                                      <w:sz w:val="16"/>
                                      <w:szCs w:val="16"/>
                                    </w:rPr>
                                    <w:t>107</w:t>
                                  </w:r>
                                </w:p>
                              </w:tc>
                              <w:tc>
                                <w:tcPr>
                                  <w:tcW w:w="907" w:type="dxa"/>
                                  <w:tcBorders>
                                    <w:top w:val="single" w:sz="8" w:space="0" w:color="FFFFFF"/>
                                    <w:left w:val="single" w:sz="8" w:space="0" w:color="FFFFFF"/>
                                    <w:bottom w:val="single" w:sz="8" w:space="0" w:color="FFFFFF"/>
                                    <w:right w:val="single" w:sz="12" w:space="0" w:color="auto"/>
                                  </w:tcBorders>
                                  <w:shd w:val="clear" w:color="auto" w:fill="2D476D"/>
                                  <w:tcMar>
                                    <w:top w:w="15" w:type="dxa"/>
                                    <w:left w:w="108" w:type="dxa"/>
                                    <w:bottom w:w="0" w:type="dxa"/>
                                    <w:right w:w="108" w:type="dxa"/>
                                  </w:tcMar>
                                  <w:vAlign w:val="center"/>
                                </w:tcPr>
                                <w:p w14:paraId="1D939F49" w14:textId="77777777" w:rsidR="00A03A05" w:rsidRPr="00157ADC" w:rsidRDefault="00A03A05" w:rsidP="0084573E">
                                  <w:pPr>
                                    <w:spacing w:before="10" w:after="10"/>
                                    <w:jc w:val="center"/>
                                    <w:rPr>
                                      <w:color w:val="FFFFFF" w:themeColor="background1"/>
                                      <w:sz w:val="16"/>
                                      <w:szCs w:val="16"/>
                                    </w:rPr>
                                  </w:pPr>
                                  <w:r>
                                    <w:rPr>
                                      <w:color w:val="FFFFFF" w:themeColor="background1"/>
                                      <w:sz w:val="16"/>
                                      <w:szCs w:val="16"/>
                                    </w:rPr>
                                    <w:t>8.2 %</w:t>
                                  </w:r>
                                </w:p>
                              </w:tc>
                              <w:tc>
                                <w:tcPr>
                                  <w:tcW w:w="1191" w:type="dxa"/>
                                  <w:tcBorders>
                                    <w:top w:val="single" w:sz="8" w:space="0" w:color="FFFFFF" w:themeColor="background1"/>
                                    <w:left w:val="single" w:sz="12" w:space="0" w:color="auto"/>
                                    <w:bottom w:val="single" w:sz="8" w:space="0" w:color="FFFFFF" w:themeColor="background1"/>
                                    <w:right w:val="single" w:sz="12" w:space="0" w:color="auto"/>
                                  </w:tcBorders>
                                  <w:shd w:val="clear" w:color="auto" w:fill="2D476D"/>
                                  <w:vAlign w:val="center"/>
                                </w:tcPr>
                                <w:p w14:paraId="43527216" w14:textId="77777777" w:rsidR="00A03A05" w:rsidRPr="00A41384" w:rsidRDefault="00A03A05" w:rsidP="0084573E">
                                  <w:pPr>
                                    <w:spacing w:before="10" w:after="10"/>
                                    <w:jc w:val="center"/>
                                    <w:rPr>
                                      <w:b/>
                                      <w:bCs/>
                                      <w:i/>
                                      <w:sz w:val="16"/>
                                      <w:szCs w:val="16"/>
                                    </w:rPr>
                                  </w:pPr>
                                  <w:r w:rsidRPr="00A41384">
                                    <w:rPr>
                                      <w:b/>
                                      <w:bCs/>
                                      <w:i/>
                                      <w:color w:val="FFFFFF" w:themeColor="background1"/>
                                      <w:sz w:val="16"/>
                                      <w:szCs w:val="16"/>
                                    </w:rPr>
                                    <w:t>7.0%</w:t>
                                  </w:r>
                                </w:p>
                              </w:tc>
                            </w:tr>
                            <w:tr w:rsidR="00A03A05" w:rsidRPr="00585AB7" w14:paraId="11085E03" w14:textId="77777777" w:rsidTr="0084573E">
                              <w:trPr>
                                <w:trHeight w:val="250"/>
                              </w:trPr>
                              <w:tc>
                                <w:tcPr>
                                  <w:tcW w:w="1814" w:type="dxa"/>
                                  <w:tcBorders>
                                    <w:top w:val="single" w:sz="8" w:space="0" w:color="FFFFFF"/>
                                    <w:left w:val="single" w:sz="8" w:space="0" w:color="000000"/>
                                    <w:bottom w:val="single" w:sz="8" w:space="0" w:color="FFFFFF"/>
                                    <w:right w:val="single" w:sz="8" w:space="0" w:color="FFFFFF"/>
                                  </w:tcBorders>
                                  <w:shd w:val="clear" w:color="auto" w:fill="6DB8E4"/>
                                  <w:tcMar>
                                    <w:top w:w="15" w:type="dxa"/>
                                    <w:left w:w="108" w:type="dxa"/>
                                    <w:bottom w:w="0" w:type="dxa"/>
                                    <w:right w:w="108" w:type="dxa"/>
                                  </w:tcMar>
                                  <w:vAlign w:val="center"/>
                                  <w:hideMark/>
                                </w:tcPr>
                                <w:p w14:paraId="1B87E5E9" w14:textId="77777777" w:rsidR="00A03A05" w:rsidRPr="00157ADC" w:rsidRDefault="00A03A05" w:rsidP="0084573E">
                                  <w:pPr>
                                    <w:spacing w:before="10" w:after="10"/>
                                    <w:rPr>
                                      <w:color w:val="FFFFFF" w:themeColor="background1"/>
                                      <w:sz w:val="16"/>
                                      <w:szCs w:val="16"/>
                                    </w:rPr>
                                  </w:pPr>
                                  <w:r>
                                    <w:rPr>
                                      <w:b/>
                                      <w:bCs/>
                                      <w:color w:val="FFFFFF" w:themeColor="background1"/>
                                      <w:sz w:val="16"/>
                                      <w:szCs w:val="16"/>
                                    </w:rPr>
                                    <w:t>(4) Southe</w:t>
                                  </w:r>
                                  <w:r w:rsidRPr="00157ADC">
                                    <w:rPr>
                                      <w:b/>
                                      <w:bCs/>
                                      <w:color w:val="FFFFFF" w:themeColor="background1"/>
                                      <w:sz w:val="16"/>
                                      <w:szCs w:val="16"/>
                                    </w:rPr>
                                    <w:t>ast</w:t>
                                  </w:r>
                                </w:p>
                              </w:tc>
                              <w:tc>
                                <w:tcPr>
                                  <w:tcW w:w="907" w:type="dxa"/>
                                  <w:tcBorders>
                                    <w:top w:val="single" w:sz="8" w:space="0" w:color="FFFFFF"/>
                                    <w:left w:val="single" w:sz="8" w:space="0" w:color="FFFFFF"/>
                                    <w:bottom w:val="single" w:sz="8" w:space="0" w:color="FFFFFF"/>
                                    <w:right w:val="single" w:sz="8" w:space="0" w:color="FFFFFF"/>
                                  </w:tcBorders>
                                  <w:shd w:val="clear" w:color="auto" w:fill="6DB8E4"/>
                                  <w:tcMar>
                                    <w:top w:w="15" w:type="dxa"/>
                                    <w:left w:w="108" w:type="dxa"/>
                                    <w:bottom w:w="0" w:type="dxa"/>
                                    <w:right w:w="108" w:type="dxa"/>
                                  </w:tcMar>
                                  <w:vAlign w:val="center"/>
                                </w:tcPr>
                                <w:p w14:paraId="478BD497" w14:textId="77777777" w:rsidR="00A03A05" w:rsidRPr="00157ADC" w:rsidRDefault="00A03A05" w:rsidP="0084573E">
                                  <w:pPr>
                                    <w:spacing w:before="10" w:after="10"/>
                                    <w:jc w:val="center"/>
                                    <w:rPr>
                                      <w:color w:val="FFFFFF" w:themeColor="background1"/>
                                      <w:sz w:val="16"/>
                                      <w:szCs w:val="16"/>
                                    </w:rPr>
                                  </w:pPr>
                                  <w:r>
                                    <w:rPr>
                                      <w:color w:val="FFFFFF" w:themeColor="background1"/>
                                      <w:sz w:val="16"/>
                                      <w:szCs w:val="16"/>
                                    </w:rPr>
                                    <w:t>264</w:t>
                                  </w:r>
                                </w:p>
                              </w:tc>
                              <w:tc>
                                <w:tcPr>
                                  <w:tcW w:w="907" w:type="dxa"/>
                                  <w:tcBorders>
                                    <w:top w:val="single" w:sz="8" w:space="0" w:color="FFFFFF"/>
                                    <w:left w:val="single" w:sz="8" w:space="0" w:color="FFFFFF"/>
                                    <w:bottom w:val="single" w:sz="8" w:space="0" w:color="FFFFFF"/>
                                    <w:right w:val="single" w:sz="12" w:space="0" w:color="auto"/>
                                  </w:tcBorders>
                                  <w:shd w:val="clear" w:color="auto" w:fill="6DB8E4"/>
                                  <w:tcMar>
                                    <w:top w:w="15" w:type="dxa"/>
                                    <w:left w:w="108" w:type="dxa"/>
                                    <w:bottom w:w="0" w:type="dxa"/>
                                    <w:right w:w="108" w:type="dxa"/>
                                  </w:tcMar>
                                  <w:vAlign w:val="center"/>
                                </w:tcPr>
                                <w:p w14:paraId="5A67807E" w14:textId="77777777" w:rsidR="00A03A05" w:rsidRPr="00157ADC" w:rsidRDefault="00A03A05" w:rsidP="0084573E">
                                  <w:pPr>
                                    <w:spacing w:before="10" w:after="10"/>
                                    <w:jc w:val="center"/>
                                    <w:rPr>
                                      <w:color w:val="FFFFFF" w:themeColor="background1"/>
                                      <w:sz w:val="16"/>
                                      <w:szCs w:val="16"/>
                                    </w:rPr>
                                  </w:pPr>
                                  <w:r>
                                    <w:rPr>
                                      <w:color w:val="FFFFFF" w:themeColor="background1"/>
                                      <w:sz w:val="16"/>
                                      <w:szCs w:val="16"/>
                                    </w:rPr>
                                    <w:t>20.1%</w:t>
                                  </w:r>
                                </w:p>
                              </w:tc>
                              <w:tc>
                                <w:tcPr>
                                  <w:tcW w:w="1191" w:type="dxa"/>
                                  <w:tcBorders>
                                    <w:top w:val="single" w:sz="8" w:space="0" w:color="FFFFFF" w:themeColor="background1"/>
                                    <w:left w:val="single" w:sz="12" w:space="0" w:color="auto"/>
                                    <w:bottom w:val="single" w:sz="8" w:space="0" w:color="FFFFFF" w:themeColor="background1"/>
                                    <w:right w:val="single" w:sz="12" w:space="0" w:color="auto"/>
                                  </w:tcBorders>
                                  <w:shd w:val="clear" w:color="auto" w:fill="6DB8E4"/>
                                  <w:vAlign w:val="center"/>
                                </w:tcPr>
                                <w:p w14:paraId="4FB9413B" w14:textId="77777777" w:rsidR="00A03A05" w:rsidRPr="00A41384" w:rsidRDefault="00A03A05" w:rsidP="0084573E">
                                  <w:pPr>
                                    <w:spacing w:before="10" w:after="10"/>
                                    <w:jc w:val="center"/>
                                    <w:rPr>
                                      <w:b/>
                                      <w:bCs/>
                                      <w:i/>
                                      <w:color w:val="FFFFFF" w:themeColor="background1"/>
                                      <w:sz w:val="16"/>
                                      <w:szCs w:val="16"/>
                                    </w:rPr>
                                  </w:pPr>
                                  <w:r w:rsidRPr="00A41384">
                                    <w:rPr>
                                      <w:b/>
                                      <w:bCs/>
                                      <w:i/>
                                      <w:color w:val="FFFFFF" w:themeColor="background1"/>
                                      <w:sz w:val="16"/>
                                      <w:szCs w:val="16"/>
                                    </w:rPr>
                                    <w:t>19.8%</w:t>
                                  </w:r>
                                </w:p>
                              </w:tc>
                            </w:tr>
                            <w:tr w:rsidR="00A03A05" w:rsidRPr="00585AB7" w14:paraId="18FEB62A" w14:textId="77777777" w:rsidTr="0084573E">
                              <w:trPr>
                                <w:trHeight w:val="250"/>
                              </w:trPr>
                              <w:tc>
                                <w:tcPr>
                                  <w:tcW w:w="1814" w:type="dxa"/>
                                  <w:tcBorders>
                                    <w:top w:val="single" w:sz="8" w:space="0" w:color="FFFFFF"/>
                                    <w:left w:val="single" w:sz="8" w:space="0" w:color="000000"/>
                                    <w:bottom w:val="single" w:sz="8" w:space="0" w:color="FFFFFF"/>
                                    <w:right w:val="single" w:sz="8" w:space="0" w:color="FFFFFF"/>
                                  </w:tcBorders>
                                  <w:shd w:val="clear" w:color="auto" w:fill="3A7BB6"/>
                                  <w:tcMar>
                                    <w:top w:w="15" w:type="dxa"/>
                                    <w:left w:w="108" w:type="dxa"/>
                                    <w:bottom w:w="0" w:type="dxa"/>
                                    <w:right w:w="108" w:type="dxa"/>
                                  </w:tcMar>
                                  <w:vAlign w:val="center"/>
                                  <w:hideMark/>
                                </w:tcPr>
                                <w:p w14:paraId="090B49F2" w14:textId="77777777" w:rsidR="00A03A05" w:rsidRPr="00157ADC" w:rsidRDefault="00A03A05" w:rsidP="0084573E">
                                  <w:pPr>
                                    <w:spacing w:before="10" w:after="10"/>
                                    <w:rPr>
                                      <w:color w:val="FFFFFF" w:themeColor="background1"/>
                                      <w:sz w:val="16"/>
                                      <w:szCs w:val="16"/>
                                    </w:rPr>
                                  </w:pPr>
                                  <w:r>
                                    <w:rPr>
                                      <w:b/>
                                      <w:bCs/>
                                      <w:color w:val="FFFFFF" w:themeColor="background1"/>
                                      <w:sz w:val="16"/>
                                      <w:szCs w:val="16"/>
                                    </w:rPr>
                                    <w:t>(5) Southw</w:t>
                                  </w:r>
                                  <w:r w:rsidRPr="00157ADC">
                                    <w:rPr>
                                      <w:b/>
                                      <w:bCs/>
                                      <w:color w:val="FFFFFF" w:themeColor="background1"/>
                                      <w:sz w:val="16"/>
                                      <w:szCs w:val="16"/>
                                    </w:rPr>
                                    <w:t>est</w:t>
                                  </w:r>
                                </w:p>
                              </w:tc>
                              <w:tc>
                                <w:tcPr>
                                  <w:tcW w:w="907" w:type="dxa"/>
                                  <w:tcBorders>
                                    <w:top w:val="single" w:sz="8" w:space="0" w:color="FFFFFF"/>
                                    <w:left w:val="single" w:sz="8" w:space="0" w:color="FFFFFF"/>
                                    <w:bottom w:val="single" w:sz="8" w:space="0" w:color="FFFFFF"/>
                                    <w:right w:val="single" w:sz="8" w:space="0" w:color="FFFFFF"/>
                                  </w:tcBorders>
                                  <w:shd w:val="clear" w:color="auto" w:fill="3A7BB6"/>
                                  <w:tcMar>
                                    <w:top w:w="15" w:type="dxa"/>
                                    <w:left w:w="108" w:type="dxa"/>
                                    <w:bottom w:w="0" w:type="dxa"/>
                                    <w:right w:w="108" w:type="dxa"/>
                                  </w:tcMar>
                                  <w:vAlign w:val="center"/>
                                </w:tcPr>
                                <w:p w14:paraId="11208CE1" w14:textId="77777777" w:rsidR="00A03A05" w:rsidRPr="00157ADC" w:rsidRDefault="00A03A05" w:rsidP="0084573E">
                                  <w:pPr>
                                    <w:spacing w:before="10" w:after="10"/>
                                    <w:jc w:val="center"/>
                                    <w:rPr>
                                      <w:color w:val="FFFFFF" w:themeColor="background1"/>
                                      <w:sz w:val="16"/>
                                      <w:szCs w:val="16"/>
                                    </w:rPr>
                                  </w:pPr>
                                  <w:r>
                                    <w:rPr>
                                      <w:color w:val="FFFFFF" w:themeColor="background1"/>
                                      <w:sz w:val="16"/>
                                      <w:szCs w:val="16"/>
                                    </w:rPr>
                                    <w:t>227</w:t>
                                  </w:r>
                                </w:p>
                              </w:tc>
                              <w:tc>
                                <w:tcPr>
                                  <w:tcW w:w="907" w:type="dxa"/>
                                  <w:tcBorders>
                                    <w:top w:val="single" w:sz="8" w:space="0" w:color="FFFFFF"/>
                                    <w:left w:val="single" w:sz="8" w:space="0" w:color="FFFFFF"/>
                                    <w:bottom w:val="single" w:sz="8" w:space="0" w:color="FFFFFF"/>
                                    <w:right w:val="single" w:sz="12" w:space="0" w:color="auto"/>
                                  </w:tcBorders>
                                  <w:shd w:val="clear" w:color="auto" w:fill="3A7BB6"/>
                                  <w:tcMar>
                                    <w:top w:w="15" w:type="dxa"/>
                                    <w:left w:w="108" w:type="dxa"/>
                                    <w:bottom w:w="0" w:type="dxa"/>
                                    <w:right w:w="108" w:type="dxa"/>
                                  </w:tcMar>
                                  <w:vAlign w:val="center"/>
                                </w:tcPr>
                                <w:p w14:paraId="28C93D8D" w14:textId="77777777" w:rsidR="00A03A05" w:rsidRPr="00157ADC" w:rsidRDefault="00A03A05" w:rsidP="0084573E">
                                  <w:pPr>
                                    <w:spacing w:before="10" w:after="10"/>
                                    <w:jc w:val="center"/>
                                    <w:rPr>
                                      <w:color w:val="FFFFFF" w:themeColor="background1"/>
                                      <w:sz w:val="16"/>
                                      <w:szCs w:val="16"/>
                                    </w:rPr>
                                  </w:pPr>
                                  <w:r>
                                    <w:rPr>
                                      <w:color w:val="FFFFFF" w:themeColor="background1"/>
                                      <w:sz w:val="16"/>
                                      <w:szCs w:val="16"/>
                                    </w:rPr>
                                    <w:t>17.3%</w:t>
                                  </w:r>
                                </w:p>
                              </w:tc>
                              <w:tc>
                                <w:tcPr>
                                  <w:tcW w:w="1191" w:type="dxa"/>
                                  <w:tcBorders>
                                    <w:top w:val="single" w:sz="8" w:space="0" w:color="FFFFFF" w:themeColor="background1"/>
                                    <w:left w:val="single" w:sz="12" w:space="0" w:color="auto"/>
                                    <w:bottom w:val="single" w:sz="8" w:space="0" w:color="FFFFFF" w:themeColor="background1"/>
                                    <w:right w:val="single" w:sz="12" w:space="0" w:color="auto"/>
                                  </w:tcBorders>
                                  <w:shd w:val="clear" w:color="auto" w:fill="3A7BB6"/>
                                  <w:vAlign w:val="center"/>
                                </w:tcPr>
                                <w:p w14:paraId="4B4B0B56" w14:textId="77777777" w:rsidR="00A03A05" w:rsidRPr="00A41384" w:rsidRDefault="00A03A05" w:rsidP="0084573E">
                                  <w:pPr>
                                    <w:spacing w:before="10" w:after="10"/>
                                    <w:jc w:val="center"/>
                                    <w:rPr>
                                      <w:b/>
                                      <w:bCs/>
                                      <w:i/>
                                      <w:color w:val="FFFFFF" w:themeColor="background1"/>
                                      <w:sz w:val="16"/>
                                      <w:szCs w:val="16"/>
                                    </w:rPr>
                                  </w:pPr>
                                  <w:r w:rsidRPr="00A41384">
                                    <w:rPr>
                                      <w:b/>
                                      <w:bCs/>
                                      <w:i/>
                                      <w:color w:val="FFFFFF" w:themeColor="background1"/>
                                      <w:sz w:val="16"/>
                                      <w:szCs w:val="16"/>
                                    </w:rPr>
                                    <w:t>16.5%</w:t>
                                  </w:r>
                                </w:p>
                              </w:tc>
                            </w:tr>
                            <w:tr w:rsidR="00A03A05" w:rsidRPr="00585AB7" w14:paraId="6706DAD6" w14:textId="77777777" w:rsidTr="0084573E">
                              <w:trPr>
                                <w:trHeight w:val="250"/>
                              </w:trPr>
                              <w:tc>
                                <w:tcPr>
                                  <w:tcW w:w="1814" w:type="dxa"/>
                                  <w:tcBorders>
                                    <w:top w:val="single" w:sz="8" w:space="0" w:color="FFFFFF"/>
                                    <w:left w:val="single" w:sz="8" w:space="0" w:color="000000"/>
                                    <w:bottom w:val="single" w:sz="8" w:space="0" w:color="auto"/>
                                    <w:right w:val="single" w:sz="8" w:space="0" w:color="FFFFFF"/>
                                  </w:tcBorders>
                                  <w:shd w:val="clear" w:color="auto" w:fill="F1F1F1"/>
                                  <w:tcMar>
                                    <w:top w:w="15" w:type="dxa"/>
                                    <w:left w:w="108" w:type="dxa"/>
                                    <w:bottom w:w="0" w:type="dxa"/>
                                    <w:right w:w="108" w:type="dxa"/>
                                  </w:tcMar>
                                  <w:vAlign w:val="center"/>
                                  <w:hideMark/>
                                </w:tcPr>
                                <w:p w14:paraId="7E9F2D84" w14:textId="77777777" w:rsidR="00A03A05" w:rsidRPr="00157ADC" w:rsidRDefault="00A03A05" w:rsidP="0084573E">
                                  <w:pPr>
                                    <w:spacing w:before="10" w:after="10"/>
                                    <w:rPr>
                                      <w:sz w:val="16"/>
                                      <w:szCs w:val="16"/>
                                    </w:rPr>
                                  </w:pPr>
                                  <w:r>
                                    <w:rPr>
                                      <w:b/>
                                      <w:bCs/>
                                      <w:sz w:val="16"/>
                                      <w:szCs w:val="16"/>
                                    </w:rPr>
                                    <w:t xml:space="preserve">(6) </w:t>
                                  </w:r>
                                  <w:r w:rsidRPr="00157ADC">
                                    <w:rPr>
                                      <w:b/>
                                      <w:bCs/>
                                      <w:sz w:val="16"/>
                                      <w:szCs w:val="16"/>
                                    </w:rPr>
                                    <w:t>Non-metropolitan</w:t>
                                  </w:r>
                                </w:p>
                              </w:tc>
                              <w:tc>
                                <w:tcPr>
                                  <w:tcW w:w="907" w:type="dxa"/>
                                  <w:tcBorders>
                                    <w:top w:val="single" w:sz="8" w:space="0" w:color="FFFFFF"/>
                                    <w:left w:val="single" w:sz="8" w:space="0" w:color="FFFFFF"/>
                                    <w:bottom w:val="single" w:sz="8" w:space="0" w:color="auto"/>
                                    <w:right w:val="single" w:sz="8" w:space="0" w:color="FFFFFF"/>
                                  </w:tcBorders>
                                  <w:shd w:val="clear" w:color="auto" w:fill="F1F1F1"/>
                                  <w:tcMar>
                                    <w:top w:w="15" w:type="dxa"/>
                                    <w:left w:w="108" w:type="dxa"/>
                                    <w:bottom w:w="0" w:type="dxa"/>
                                    <w:right w:w="108" w:type="dxa"/>
                                  </w:tcMar>
                                  <w:vAlign w:val="center"/>
                                </w:tcPr>
                                <w:p w14:paraId="3BA20D00" w14:textId="77777777" w:rsidR="00A03A05" w:rsidRPr="00157ADC" w:rsidRDefault="00A03A05" w:rsidP="0084573E">
                                  <w:pPr>
                                    <w:spacing w:before="10" w:after="10"/>
                                    <w:jc w:val="center"/>
                                    <w:rPr>
                                      <w:sz w:val="16"/>
                                      <w:szCs w:val="16"/>
                                    </w:rPr>
                                  </w:pPr>
                                  <w:r>
                                    <w:rPr>
                                      <w:sz w:val="16"/>
                                      <w:szCs w:val="16"/>
                                    </w:rPr>
                                    <w:t>322</w:t>
                                  </w:r>
                                </w:p>
                              </w:tc>
                              <w:tc>
                                <w:tcPr>
                                  <w:tcW w:w="907" w:type="dxa"/>
                                  <w:tcBorders>
                                    <w:top w:val="single" w:sz="8" w:space="0" w:color="FFFFFF"/>
                                    <w:left w:val="single" w:sz="8" w:space="0" w:color="FFFFFF"/>
                                    <w:bottom w:val="single" w:sz="8" w:space="0" w:color="auto"/>
                                    <w:right w:val="single" w:sz="12" w:space="0" w:color="auto"/>
                                  </w:tcBorders>
                                  <w:shd w:val="clear" w:color="auto" w:fill="F1F1F1"/>
                                  <w:tcMar>
                                    <w:top w:w="15" w:type="dxa"/>
                                    <w:left w:w="108" w:type="dxa"/>
                                    <w:bottom w:w="0" w:type="dxa"/>
                                    <w:right w:w="108" w:type="dxa"/>
                                  </w:tcMar>
                                  <w:vAlign w:val="center"/>
                                </w:tcPr>
                                <w:p w14:paraId="52D98FFE" w14:textId="77777777" w:rsidR="00A03A05" w:rsidRPr="00157ADC" w:rsidRDefault="00A03A05" w:rsidP="0084573E">
                                  <w:pPr>
                                    <w:spacing w:before="10" w:after="10"/>
                                    <w:jc w:val="center"/>
                                    <w:rPr>
                                      <w:sz w:val="16"/>
                                      <w:szCs w:val="16"/>
                                    </w:rPr>
                                  </w:pPr>
                                  <w:r>
                                    <w:rPr>
                                      <w:sz w:val="16"/>
                                      <w:szCs w:val="16"/>
                                    </w:rPr>
                                    <w:t>24.6%</w:t>
                                  </w:r>
                                </w:p>
                              </w:tc>
                              <w:tc>
                                <w:tcPr>
                                  <w:tcW w:w="1191" w:type="dxa"/>
                                  <w:tcBorders>
                                    <w:top w:val="single" w:sz="8" w:space="0" w:color="FFFFFF" w:themeColor="background1"/>
                                    <w:left w:val="single" w:sz="12" w:space="0" w:color="auto"/>
                                    <w:bottom w:val="single" w:sz="12" w:space="0" w:color="auto"/>
                                    <w:right w:val="single" w:sz="12" w:space="0" w:color="auto"/>
                                  </w:tcBorders>
                                  <w:shd w:val="clear" w:color="auto" w:fill="F1F1F1"/>
                                  <w:vAlign w:val="center"/>
                                </w:tcPr>
                                <w:p w14:paraId="7F75D8B0" w14:textId="77777777" w:rsidR="00A03A05" w:rsidRPr="00A41384" w:rsidRDefault="00A03A05" w:rsidP="0084573E">
                                  <w:pPr>
                                    <w:spacing w:before="10" w:after="10"/>
                                    <w:jc w:val="center"/>
                                    <w:rPr>
                                      <w:bCs/>
                                      <w:i/>
                                      <w:sz w:val="16"/>
                                      <w:szCs w:val="16"/>
                                    </w:rPr>
                                  </w:pPr>
                                  <w:r w:rsidRPr="00A41384">
                                    <w:rPr>
                                      <w:bCs/>
                                      <w:i/>
                                      <w:sz w:val="16"/>
                                      <w:szCs w:val="16"/>
                                    </w:rPr>
                                    <w:t>24.7%</w:t>
                                  </w:r>
                                </w:p>
                              </w:tc>
                            </w:tr>
                          </w:tbl>
                          <w:p w14:paraId="0D062A2C" w14:textId="77777777" w:rsidR="00A03A05" w:rsidRDefault="00A03A05" w:rsidP="00114CF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52" type="#_x0000_t202" style="position:absolute;margin-left:33.75pt;margin-top:29.15pt;width:247.5pt;height:122.25pt;z-index:25270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" filled="f" stroked="f">
                <v:textbox>
                  <w:txbxContent>
                    <w:tbl>
                      <w:tblPr>
                        <w:tblW w:w="4819" w:type="dxa"/>
                        <w:tblCellMar>
                          <w:left w:w="0" w:type="dxa"/>
                          <w:right w:w="0" w:type="dxa"/>
                        </w:tblCellMar>
                        <w:tblLook w:val="04A0" w:firstRow="1" w:lastRow="0" w:firstColumn="1" w:lastColumn="0" w:noHBand="0" w:noVBand="1"/>
                      </w:tblPr>
                      <w:tblGrid>
                        <w:gridCol w:w="1814"/>
                        <w:gridCol w:w="907"/>
                        <w:gridCol w:w="907"/>
                        <w:gridCol w:w="1191"/>
                      </w:tblGrid>
                      <w:tr w:rsidR="00A03A05" w:rsidRPr="00585AB7" w14:paraId="313303DA" w14:textId="77777777" w:rsidTr="0084573E">
                        <w:trPr>
                          <w:trHeight w:val="295"/>
                        </w:trPr>
                        <w:tc>
                          <w:tcPr>
                            <w:tcW w:w="1814" w:type="dxa"/>
                            <w:tcBorders>
                              <w:top w:val="single" w:sz="8" w:space="0" w:color="000000"/>
                              <w:left w:val="single" w:sz="8" w:space="0" w:color="000000"/>
                              <w:bottom w:val="single" w:sz="18" w:space="0" w:color="FFFFFF" w:themeColor="background1"/>
                              <w:right w:val="single" w:sz="8" w:space="0" w:color="FFFFFF"/>
                            </w:tcBorders>
                            <w:shd w:val="clear" w:color="auto" w:fill="000000"/>
                            <w:tcMar>
                              <w:top w:w="15" w:type="dxa"/>
                              <w:left w:w="108" w:type="dxa"/>
                              <w:bottom w:w="0" w:type="dxa"/>
                              <w:right w:w="108" w:type="dxa"/>
                            </w:tcMar>
                            <w:vAlign w:val="center"/>
                            <w:hideMark/>
                          </w:tcPr>
                          <w:p w14:paraId="4F6319D1" w14:textId="77777777" w:rsidR="00A03A05" w:rsidRPr="002D4000" w:rsidRDefault="00A03A05" w:rsidP="0084573E">
                            <w:pPr>
                              <w:spacing w:before="10" w:after="10"/>
                              <w:rPr>
                                <w:b/>
                                <w:sz w:val="16"/>
                                <w:szCs w:val="16"/>
                              </w:rPr>
                            </w:pPr>
                            <w:r>
                              <w:rPr>
                                <w:b/>
                                <w:bCs/>
                                <w:sz w:val="16"/>
                                <w:szCs w:val="16"/>
                              </w:rPr>
                              <w:t>R</w:t>
                            </w:r>
                            <w:r w:rsidRPr="002D4000">
                              <w:rPr>
                                <w:b/>
                                <w:bCs/>
                                <w:sz w:val="16"/>
                                <w:szCs w:val="16"/>
                              </w:rPr>
                              <w:t>egion</w:t>
                            </w:r>
                          </w:p>
                        </w:tc>
                        <w:tc>
                          <w:tcPr>
                            <w:tcW w:w="907" w:type="dxa"/>
                            <w:tcBorders>
                              <w:top w:val="single" w:sz="8" w:space="0" w:color="000000"/>
                              <w:left w:val="single" w:sz="8" w:space="0" w:color="FFFFFF"/>
                              <w:bottom w:val="single" w:sz="18" w:space="0" w:color="FFFFFF" w:themeColor="background1"/>
                              <w:right w:val="single" w:sz="8" w:space="0" w:color="FFFFFF"/>
                            </w:tcBorders>
                            <w:shd w:val="clear" w:color="auto" w:fill="000000"/>
                            <w:tcMar>
                              <w:top w:w="15" w:type="dxa"/>
                              <w:left w:w="108" w:type="dxa"/>
                              <w:bottom w:w="0" w:type="dxa"/>
                              <w:right w:w="108" w:type="dxa"/>
                            </w:tcMar>
                            <w:vAlign w:val="center"/>
                            <w:hideMark/>
                          </w:tcPr>
                          <w:p w14:paraId="27E23694" w14:textId="77777777" w:rsidR="00A03A05" w:rsidRPr="002D4000" w:rsidRDefault="00A03A05" w:rsidP="0084573E">
                            <w:pPr>
                              <w:spacing w:before="10" w:after="10"/>
                              <w:jc w:val="center"/>
                              <w:rPr>
                                <w:b/>
                                <w:sz w:val="16"/>
                                <w:szCs w:val="16"/>
                              </w:rPr>
                            </w:pPr>
                            <w:r>
                              <w:rPr>
                                <w:b/>
                                <w:bCs/>
                                <w:sz w:val="16"/>
                                <w:szCs w:val="16"/>
                              </w:rPr>
                              <w:t>#</w:t>
                            </w:r>
                          </w:p>
                        </w:tc>
                        <w:tc>
                          <w:tcPr>
                            <w:tcW w:w="907" w:type="dxa"/>
                            <w:tcBorders>
                              <w:top w:val="single" w:sz="8" w:space="0" w:color="000000"/>
                              <w:left w:val="single" w:sz="8" w:space="0" w:color="FFFFFF"/>
                              <w:bottom w:val="single" w:sz="18" w:space="0" w:color="FFFFFF" w:themeColor="background1"/>
                              <w:right w:val="single" w:sz="12" w:space="0" w:color="auto"/>
                            </w:tcBorders>
                            <w:shd w:val="clear" w:color="auto" w:fill="000000"/>
                            <w:tcMar>
                              <w:top w:w="15" w:type="dxa"/>
                              <w:left w:w="108" w:type="dxa"/>
                              <w:bottom w:w="0" w:type="dxa"/>
                              <w:right w:w="108" w:type="dxa"/>
                            </w:tcMar>
                            <w:vAlign w:val="center"/>
                            <w:hideMark/>
                          </w:tcPr>
                          <w:p w14:paraId="2C548277" w14:textId="77777777" w:rsidR="00A03A05" w:rsidRPr="002D4000" w:rsidRDefault="00A03A05" w:rsidP="0084573E">
                            <w:pPr>
                              <w:spacing w:before="10" w:after="10"/>
                              <w:jc w:val="center"/>
                              <w:rPr>
                                <w:b/>
                                <w:sz w:val="16"/>
                                <w:szCs w:val="16"/>
                              </w:rPr>
                            </w:pPr>
                            <w:r>
                              <w:rPr>
                                <w:b/>
                                <w:sz w:val="16"/>
                                <w:szCs w:val="16"/>
                              </w:rPr>
                              <w:t>%</w:t>
                            </w:r>
                          </w:p>
                        </w:tc>
                        <w:tc>
                          <w:tcPr>
                            <w:tcW w:w="1191" w:type="dxa"/>
                            <w:tcBorders>
                              <w:top w:val="single" w:sz="12" w:space="0" w:color="auto"/>
                              <w:left w:val="single" w:sz="12" w:space="0" w:color="auto"/>
                              <w:bottom w:val="single" w:sz="8" w:space="0" w:color="FFFFFF" w:themeColor="background1"/>
                              <w:right w:val="single" w:sz="12" w:space="0" w:color="auto"/>
                            </w:tcBorders>
                            <w:shd w:val="clear" w:color="auto" w:fill="000000"/>
                            <w:vAlign w:val="center"/>
                          </w:tcPr>
                          <w:p w14:paraId="411DD9A2" w14:textId="77777777" w:rsidR="00A03A05" w:rsidRPr="00A41384" w:rsidRDefault="00A03A05" w:rsidP="0084573E">
                            <w:pPr>
                              <w:spacing w:before="10" w:after="10"/>
                              <w:jc w:val="center"/>
                              <w:rPr>
                                <w:b/>
                                <w:bCs/>
                                <w:i/>
                                <w:sz w:val="16"/>
                                <w:szCs w:val="16"/>
                              </w:rPr>
                            </w:pPr>
                            <w:r w:rsidRPr="00A41384">
                              <w:rPr>
                                <w:b/>
                                <w:bCs/>
                                <w:i/>
                                <w:sz w:val="16"/>
                                <w:szCs w:val="16"/>
                              </w:rPr>
                              <w:t>Population %</w:t>
                            </w:r>
                          </w:p>
                        </w:tc>
                      </w:tr>
                      <w:tr w:rsidR="00A03A05" w:rsidRPr="00585AB7" w14:paraId="38C4CB30" w14:textId="77777777" w:rsidTr="0084573E">
                        <w:trPr>
                          <w:trHeight w:val="250"/>
                        </w:trPr>
                        <w:tc>
                          <w:tcPr>
                            <w:tcW w:w="1814" w:type="dxa"/>
                            <w:tcBorders>
                              <w:top w:val="single" w:sz="18" w:space="0" w:color="FFFFFF" w:themeColor="background1"/>
                              <w:left w:val="single" w:sz="8" w:space="0" w:color="000000"/>
                              <w:bottom w:val="single" w:sz="8" w:space="0" w:color="FFFFFF"/>
                              <w:right w:val="single" w:sz="8" w:space="0" w:color="FFFFFF"/>
                            </w:tcBorders>
                            <w:shd w:val="clear" w:color="auto" w:fill="C3C3C3"/>
                            <w:tcMar>
                              <w:top w:w="15" w:type="dxa"/>
                              <w:left w:w="108" w:type="dxa"/>
                              <w:bottom w:w="0" w:type="dxa"/>
                              <w:right w:w="108" w:type="dxa"/>
                            </w:tcMar>
                            <w:vAlign w:val="center"/>
                            <w:hideMark/>
                          </w:tcPr>
                          <w:p w14:paraId="0D27A089" w14:textId="77777777" w:rsidR="00A03A05" w:rsidRPr="00157ADC" w:rsidRDefault="00A03A05" w:rsidP="0084573E">
                            <w:pPr>
                              <w:spacing w:before="10" w:after="10"/>
                              <w:rPr>
                                <w:sz w:val="16"/>
                                <w:szCs w:val="16"/>
                              </w:rPr>
                            </w:pPr>
                            <w:r>
                              <w:rPr>
                                <w:b/>
                                <w:bCs/>
                                <w:sz w:val="16"/>
                                <w:szCs w:val="16"/>
                              </w:rPr>
                              <w:t>(1) Northw</w:t>
                            </w:r>
                            <w:r w:rsidRPr="00157ADC">
                              <w:rPr>
                                <w:b/>
                                <w:bCs/>
                                <w:sz w:val="16"/>
                                <w:szCs w:val="16"/>
                              </w:rPr>
                              <w:t>est</w:t>
                            </w:r>
                          </w:p>
                        </w:tc>
                        <w:tc>
                          <w:tcPr>
                            <w:tcW w:w="907" w:type="dxa"/>
                            <w:tcBorders>
                              <w:top w:val="single" w:sz="18" w:space="0" w:color="FFFFFF" w:themeColor="background1"/>
                              <w:left w:val="single" w:sz="8" w:space="0" w:color="FFFFFF"/>
                              <w:bottom w:val="single" w:sz="8" w:space="0" w:color="FFFFFF"/>
                              <w:right w:val="single" w:sz="8" w:space="0" w:color="FFFFFF"/>
                            </w:tcBorders>
                            <w:shd w:val="clear" w:color="auto" w:fill="C3C3C3"/>
                            <w:tcMar>
                              <w:top w:w="15" w:type="dxa"/>
                              <w:left w:w="108" w:type="dxa"/>
                              <w:bottom w:w="0" w:type="dxa"/>
                              <w:right w:w="108" w:type="dxa"/>
                            </w:tcMar>
                            <w:vAlign w:val="center"/>
                          </w:tcPr>
                          <w:p w14:paraId="44464F2F" w14:textId="77777777" w:rsidR="00A03A05" w:rsidRPr="00157ADC" w:rsidRDefault="00A03A05" w:rsidP="0084573E">
                            <w:pPr>
                              <w:spacing w:before="10" w:after="10"/>
                              <w:jc w:val="center"/>
                              <w:rPr>
                                <w:sz w:val="16"/>
                                <w:szCs w:val="16"/>
                              </w:rPr>
                            </w:pPr>
                            <w:r>
                              <w:rPr>
                                <w:sz w:val="16"/>
                                <w:szCs w:val="16"/>
                              </w:rPr>
                              <w:t>270</w:t>
                            </w:r>
                          </w:p>
                        </w:tc>
                        <w:tc>
                          <w:tcPr>
                            <w:tcW w:w="907" w:type="dxa"/>
                            <w:tcBorders>
                              <w:top w:val="single" w:sz="18" w:space="0" w:color="FFFFFF" w:themeColor="background1"/>
                              <w:left w:val="single" w:sz="8" w:space="0" w:color="FFFFFF"/>
                              <w:bottom w:val="single" w:sz="8" w:space="0" w:color="FFFFFF"/>
                              <w:right w:val="single" w:sz="12" w:space="0" w:color="auto"/>
                            </w:tcBorders>
                            <w:shd w:val="clear" w:color="auto" w:fill="C3C3C3"/>
                            <w:tcMar>
                              <w:top w:w="15" w:type="dxa"/>
                              <w:left w:w="108" w:type="dxa"/>
                              <w:bottom w:w="0" w:type="dxa"/>
                              <w:right w:w="108" w:type="dxa"/>
                            </w:tcMar>
                            <w:vAlign w:val="center"/>
                          </w:tcPr>
                          <w:p w14:paraId="58588661" w14:textId="77777777" w:rsidR="00A03A05" w:rsidRPr="00157ADC" w:rsidRDefault="00A03A05" w:rsidP="0084573E">
                            <w:pPr>
                              <w:spacing w:before="10" w:after="10"/>
                              <w:jc w:val="center"/>
                              <w:rPr>
                                <w:sz w:val="16"/>
                                <w:szCs w:val="16"/>
                              </w:rPr>
                            </w:pPr>
                            <w:r>
                              <w:rPr>
                                <w:sz w:val="16"/>
                                <w:szCs w:val="16"/>
                              </w:rPr>
                              <w:t>20.6%</w:t>
                            </w:r>
                          </w:p>
                        </w:tc>
                        <w:tc>
                          <w:tcPr>
                            <w:tcW w:w="1191" w:type="dxa"/>
                            <w:tcBorders>
                              <w:top w:val="single" w:sz="8" w:space="0" w:color="FFFFFF" w:themeColor="background1"/>
                              <w:left w:val="single" w:sz="12" w:space="0" w:color="auto"/>
                              <w:bottom w:val="single" w:sz="8" w:space="0" w:color="FFFFFF" w:themeColor="background1"/>
                              <w:right w:val="single" w:sz="12" w:space="0" w:color="auto"/>
                            </w:tcBorders>
                            <w:shd w:val="clear" w:color="auto" w:fill="C3C3C3"/>
                            <w:vAlign w:val="center"/>
                          </w:tcPr>
                          <w:p w14:paraId="57281BF1" w14:textId="77777777" w:rsidR="00A03A05" w:rsidRPr="00A41384" w:rsidRDefault="00A03A05" w:rsidP="0084573E">
                            <w:pPr>
                              <w:spacing w:before="10" w:after="10"/>
                              <w:jc w:val="center"/>
                              <w:rPr>
                                <w:bCs/>
                                <w:i/>
                                <w:sz w:val="16"/>
                                <w:szCs w:val="16"/>
                              </w:rPr>
                            </w:pPr>
                            <w:r w:rsidRPr="00A41384">
                              <w:rPr>
                                <w:bCs/>
                                <w:i/>
                                <w:sz w:val="16"/>
                                <w:szCs w:val="16"/>
                              </w:rPr>
                              <w:t>21.8%</w:t>
                            </w:r>
                          </w:p>
                        </w:tc>
                      </w:tr>
                      <w:tr w:rsidR="00A03A05" w:rsidRPr="00585AB7" w14:paraId="3108337D" w14:textId="77777777" w:rsidTr="0084573E">
                        <w:trPr>
                          <w:trHeight w:val="250"/>
                        </w:trPr>
                        <w:tc>
                          <w:tcPr>
                            <w:tcW w:w="1814" w:type="dxa"/>
                            <w:tcBorders>
                              <w:top w:val="single" w:sz="8" w:space="0" w:color="FFFFFF"/>
                              <w:left w:val="single" w:sz="8" w:space="0" w:color="000000"/>
                              <w:bottom w:val="single" w:sz="8" w:space="0" w:color="FFFFFF"/>
                              <w:right w:val="single" w:sz="8" w:space="0" w:color="FFFFFF"/>
                            </w:tcBorders>
                            <w:shd w:val="clear" w:color="auto" w:fill="F8FCFF"/>
                            <w:tcMar>
                              <w:top w:w="15" w:type="dxa"/>
                              <w:left w:w="108" w:type="dxa"/>
                              <w:bottom w:w="0" w:type="dxa"/>
                              <w:right w:w="108" w:type="dxa"/>
                            </w:tcMar>
                            <w:vAlign w:val="center"/>
                            <w:hideMark/>
                          </w:tcPr>
                          <w:p w14:paraId="70B3B3B8" w14:textId="77777777" w:rsidR="00A03A05" w:rsidRPr="00157ADC" w:rsidRDefault="00A03A05" w:rsidP="0084573E">
                            <w:pPr>
                              <w:spacing w:before="10" w:after="10"/>
                              <w:rPr>
                                <w:sz w:val="16"/>
                                <w:szCs w:val="16"/>
                              </w:rPr>
                            </w:pPr>
                            <w:r>
                              <w:rPr>
                                <w:b/>
                                <w:bCs/>
                                <w:sz w:val="16"/>
                                <w:szCs w:val="16"/>
                              </w:rPr>
                              <w:t>(2) Northeast</w:t>
                            </w:r>
                          </w:p>
                        </w:tc>
                        <w:tc>
                          <w:tcPr>
                            <w:tcW w:w="907" w:type="dxa"/>
                            <w:tcBorders>
                              <w:top w:val="single" w:sz="8" w:space="0" w:color="FFFFFF"/>
                              <w:left w:val="single" w:sz="8" w:space="0" w:color="FFFFFF"/>
                              <w:bottom w:val="single" w:sz="8" w:space="0" w:color="FFFFFF"/>
                              <w:right w:val="single" w:sz="8" w:space="0" w:color="FFFFFF"/>
                            </w:tcBorders>
                            <w:shd w:val="clear" w:color="auto" w:fill="F8FCFF"/>
                            <w:tcMar>
                              <w:top w:w="15" w:type="dxa"/>
                              <w:left w:w="108" w:type="dxa"/>
                              <w:bottom w:w="0" w:type="dxa"/>
                              <w:right w:w="108" w:type="dxa"/>
                            </w:tcMar>
                            <w:vAlign w:val="center"/>
                          </w:tcPr>
                          <w:p w14:paraId="39029E65" w14:textId="77777777" w:rsidR="00A03A05" w:rsidRPr="00157ADC" w:rsidRDefault="00A03A05" w:rsidP="0084573E">
                            <w:pPr>
                              <w:spacing w:before="10" w:after="10"/>
                              <w:jc w:val="center"/>
                              <w:rPr>
                                <w:sz w:val="16"/>
                                <w:szCs w:val="16"/>
                              </w:rPr>
                            </w:pPr>
                            <w:r>
                              <w:rPr>
                                <w:sz w:val="16"/>
                                <w:szCs w:val="16"/>
                              </w:rPr>
                              <w:t>121</w:t>
                            </w:r>
                          </w:p>
                        </w:tc>
                        <w:tc>
                          <w:tcPr>
                            <w:tcW w:w="907" w:type="dxa"/>
                            <w:tcBorders>
                              <w:top w:val="single" w:sz="8" w:space="0" w:color="FFFFFF"/>
                              <w:left w:val="single" w:sz="8" w:space="0" w:color="FFFFFF"/>
                              <w:bottom w:val="single" w:sz="8" w:space="0" w:color="FFFFFF"/>
                              <w:right w:val="single" w:sz="12" w:space="0" w:color="auto"/>
                            </w:tcBorders>
                            <w:shd w:val="clear" w:color="auto" w:fill="F8FCFF"/>
                            <w:tcMar>
                              <w:top w:w="15" w:type="dxa"/>
                              <w:left w:w="108" w:type="dxa"/>
                              <w:bottom w:w="0" w:type="dxa"/>
                              <w:right w:w="108" w:type="dxa"/>
                            </w:tcMar>
                            <w:vAlign w:val="center"/>
                          </w:tcPr>
                          <w:p w14:paraId="3483489B" w14:textId="77777777" w:rsidR="00A03A05" w:rsidRPr="00157ADC" w:rsidRDefault="00A03A05" w:rsidP="0084573E">
                            <w:pPr>
                              <w:spacing w:before="10" w:after="10"/>
                              <w:jc w:val="center"/>
                              <w:rPr>
                                <w:sz w:val="16"/>
                                <w:szCs w:val="16"/>
                              </w:rPr>
                            </w:pPr>
                            <w:r>
                              <w:rPr>
                                <w:sz w:val="16"/>
                                <w:szCs w:val="16"/>
                              </w:rPr>
                              <w:t>9.2%</w:t>
                            </w:r>
                          </w:p>
                        </w:tc>
                        <w:tc>
                          <w:tcPr>
                            <w:tcW w:w="1191" w:type="dxa"/>
                            <w:tcBorders>
                              <w:top w:val="single" w:sz="8" w:space="0" w:color="FFFFFF" w:themeColor="background1"/>
                              <w:left w:val="single" w:sz="12" w:space="0" w:color="auto"/>
                              <w:bottom w:val="single" w:sz="8" w:space="0" w:color="FFFFFF" w:themeColor="background1"/>
                              <w:right w:val="single" w:sz="12" w:space="0" w:color="auto"/>
                            </w:tcBorders>
                            <w:shd w:val="clear" w:color="auto" w:fill="F8FCFF"/>
                            <w:vAlign w:val="center"/>
                          </w:tcPr>
                          <w:p w14:paraId="2B8539D4" w14:textId="77777777" w:rsidR="00A03A05" w:rsidRPr="00A41384" w:rsidRDefault="00A03A05" w:rsidP="0084573E">
                            <w:pPr>
                              <w:spacing w:before="10" w:after="10"/>
                              <w:jc w:val="center"/>
                              <w:rPr>
                                <w:bCs/>
                                <w:i/>
                                <w:sz w:val="16"/>
                                <w:szCs w:val="16"/>
                              </w:rPr>
                            </w:pPr>
                            <w:r w:rsidRPr="00A41384">
                              <w:rPr>
                                <w:bCs/>
                                <w:i/>
                                <w:sz w:val="16"/>
                                <w:szCs w:val="16"/>
                              </w:rPr>
                              <w:t>10.2%</w:t>
                            </w:r>
                          </w:p>
                        </w:tc>
                      </w:tr>
                      <w:tr w:rsidR="00A03A05" w:rsidRPr="00585AB7" w14:paraId="4CEF832B" w14:textId="77777777" w:rsidTr="0084573E">
                        <w:trPr>
                          <w:trHeight w:val="250"/>
                        </w:trPr>
                        <w:tc>
                          <w:tcPr>
                            <w:tcW w:w="1814" w:type="dxa"/>
                            <w:tcBorders>
                              <w:top w:val="single" w:sz="8" w:space="0" w:color="FFFFFF"/>
                              <w:left w:val="single" w:sz="8" w:space="0" w:color="000000"/>
                              <w:bottom w:val="single" w:sz="8" w:space="0" w:color="FFFFFF"/>
                              <w:right w:val="single" w:sz="8" w:space="0" w:color="FFFFFF"/>
                            </w:tcBorders>
                            <w:shd w:val="clear" w:color="auto" w:fill="2D476D"/>
                            <w:tcMar>
                              <w:top w:w="15" w:type="dxa"/>
                              <w:left w:w="108" w:type="dxa"/>
                              <w:bottom w:w="0" w:type="dxa"/>
                              <w:right w:w="108" w:type="dxa"/>
                            </w:tcMar>
                            <w:vAlign w:val="center"/>
                            <w:hideMark/>
                          </w:tcPr>
                          <w:p w14:paraId="22AC021A" w14:textId="77777777" w:rsidR="00A03A05" w:rsidRPr="00157ADC" w:rsidRDefault="00A03A05" w:rsidP="0084573E">
                            <w:pPr>
                              <w:spacing w:before="10" w:after="10"/>
                              <w:rPr>
                                <w:color w:val="FFFFFF" w:themeColor="background1"/>
                                <w:sz w:val="16"/>
                                <w:szCs w:val="16"/>
                              </w:rPr>
                            </w:pPr>
                            <w:r>
                              <w:rPr>
                                <w:b/>
                                <w:bCs/>
                                <w:color w:val="FFFFFF" w:themeColor="background1"/>
                                <w:sz w:val="16"/>
                                <w:szCs w:val="16"/>
                              </w:rPr>
                              <w:t xml:space="preserve">(3) </w:t>
                            </w:r>
                            <w:r w:rsidRPr="00157ADC">
                              <w:rPr>
                                <w:b/>
                                <w:bCs/>
                                <w:color w:val="FFFFFF" w:themeColor="background1"/>
                                <w:sz w:val="16"/>
                                <w:szCs w:val="16"/>
                              </w:rPr>
                              <w:t>Central</w:t>
                            </w:r>
                          </w:p>
                        </w:tc>
                        <w:tc>
                          <w:tcPr>
                            <w:tcW w:w="907" w:type="dxa"/>
                            <w:tcBorders>
                              <w:top w:val="single" w:sz="8" w:space="0" w:color="FFFFFF"/>
                              <w:left w:val="single" w:sz="8" w:space="0" w:color="FFFFFF"/>
                              <w:bottom w:val="single" w:sz="8" w:space="0" w:color="FFFFFF"/>
                              <w:right w:val="single" w:sz="8" w:space="0" w:color="FFFFFF"/>
                            </w:tcBorders>
                            <w:shd w:val="clear" w:color="auto" w:fill="2D476D"/>
                            <w:tcMar>
                              <w:top w:w="15" w:type="dxa"/>
                              <w:left w:w="108" w:type="dxa"/>
                              <w:bottom w:w="0" w:type="dxa"/>
                              <w:right w:w="108" w:type="dxa"/>
                            </w:tcMar>
                            <w:vAlign w:val="center"/>
                          </w:tcPr>
                          <w:p w14:paraId="3BD9620F" w14:textId="77777777" w:rsidR="00A03A05" w:rsidRPr="00157ADC" w:rsidRDefault="00A03A05" w:rsidP="0084573E">
                            <w:pPr>
                              <w:spacing w:before="10" w:after="10"/>
                              <w:jc w:val="center"/>
                              <w:rPr>
                                <w:color w:val="FFFFFF" w:themeColor="background1"/>
                                <w:sz w:val="16"/>
                                <w:szCs w:val="16"/>
                              </w:rPr>
                            </w:pPr>
                            <w:r>
                              <w:rPr>
                                <w:color w:val="FFFFFF" w:themeColor="background1"/>
                                <w:sz w:val="16"/>
                                <w:szCs w:val="16"/>
                              </w:rPr>
                              <w:t>107</w:t>
                            </w:r>
                          </w:p>
                        </w:tc>
                        <w:tc>
                          <w:tcPr>
                            <w:tcW w:w="907" w:type="dxa"/>
                            <w:tcBorders>
                              <w:top w:val="single" w:sz="8" w:space="0" w:color="FFFFFF"/>
                              <w:left w:val="single" w:sz="8" w:space="0" w:color="FFFFFF"/>
                              <w:bottom w:val="single" w:sz="8" w:space="0" w:color="FFFFFF"/>
                              <w:right w:val="single" w:sz="12" w:space="0" w:color="auto"/>
                            </w:tcBorders>
                            <w:shd w:val="clear" w:color="auto" w:fill="2D476D"/>
                            <w:tcMar>
                              <w:top w:w="15" w:type="dxa"/>
                              <w:left w:w="108" w:type="dxa"/>
                              <w:bottom w:w="0" w:type="dxa"/>
                              <w:right w:w="108" w:type="dxa"/>
                            </w:tcMar>
                            <w:vAlign w:val="center"/>
                          </w:tcPr>
                          <w:p w14:paraId="1D939F49" w14:textId="77777777" w:rsidR="00A03A05" w:rsidRPr="00157ADC" w:rsidRDefault="00A03A05" w:rsidP="0084573E">
                            <w:pPr>
                              <w:spacing w:before="10" w:after="10"/>
                              <w:jc w:val="center"/>
                              <w:rPr>
                                <w:color w:val="FFFFFF" w:themeColor="background1"/>
                                <w:sz w:val="16"/>
                                <w:szCs w:val="16"/>
                              </w:rPr>
                            </w:pPr>
                            <w:r>
                              <w:rPr>
                                <w:color w:val="FFFFFF" w:themeColor="background1"/>
                                <w:sz w:val="16"/>
                                <w:szCs w:val="16"/>
                              </w:rPr>
                              <w:t>8.2 %</w:t>
                            </w:r>
                          </w:p>
                        </w:tc>
                        <w:tc>
                          <w:tcPr>
                            <w:tcW w:w="1191" w:type="dxa"/>
                            <w:tcBorders>
                              <w:top w:val="single" w:sz="8" w:space="0" w:color="FFFFFF" w:themeColor="background1"/>
                              <w:left w:val="single" w:sz="12" w:space="0" w:color="auto"/>
                              <w:bottom w:val="single" w:sz="8" w:space="0" w:color="FFFFFF" w:themeColor="background1"/>
                              <w:right w:val="single" w:sz="12" w:space="0" w:color="auto"/>
                            </w:tcBorders>
                            <w:shd w:val="clear" w:color="auto" w:fill="2D476D"/>
                            <w:vAlign w:val="center"/>
                          </w:tcPr>
                          <w:p w14:paraId="43527216" w14:textId="77777777" w:rsidR="00A03A05" w:rsidRPr="00A41384" w:rsidRDefault="00A03A05" w:rsidP="0084573E">
                            <w:pPr>
                              <w:spacing w:before="10" w:after="10"/>
                              <w:jc w:val="center"/>
                              <w:rPr>
                                <w:b/>
                                <w:bCs/>
                                <w:i/>
                                <w:sz w:val="16"/>
                                <w:szCs w:val="16"/>
                              </w:rPr>
                            </w:pPr>
                            <w:r w:rsidRPr="00A41384">
                              <w:rPr>
                                <w:b/>
                                <w:bCs/>
                                <w:i/>
                                <w:color w:val="FFFFFF" w:themeColor="background1"/>
                                <w:sz w:val="16"/>
                                <w:szCs w:val="16"/>
                              </w:rPr>
                              <w:t>7.0%</w:t>
                            </w:r>
                          </w:p>
                        </w:tc>
                      </w:tr>
                      <w:tr w:rsidR="00A03A05" w:rsidRPr="00585AB7" w14:paraId="11085E03" w14:textId="77777777" w:rsidTr="0084573E">
                        <w:trPr>
                          <w:trHeight w:val="250"/>
                        </w:trPr>
                        <w:tc>
                          <w:tcPr>
                            <w:tcW w:w="1814" w:type="dxa"/>
                            <w:tcBorders>
                              <w:top w:val="single" w:sz="8" w:space="0" w:color="FFFFFF"/>
                              <w:left w:val="single" w:sz="8" w:space="0" w:color="000000"/>
                              <w:bottom w:val="single" w:sz="8" w:space="0" w:color="FFFFFF"/>
                              <w:right w:val="single" w:sz="8" w:space="0" w:color="FFFFFF"/>
                            </w:tcBorders>
                            <w:shd w:val="clear" w:color="auto" w:fill="6DB8E4"/>
                            <w:tcMar>
                              <w:top w:w="15" w:type="dxa"/>
                              <w:left w:w="108" w:type="dxa"/>
                              <w:bottom w:w="0" w:type="dxa"/>
                              <w:right w:w="108" w:type="dxa"/>
                            </w:tcMar>
                            <w:vAlign w:val="center"/>
                            <w:hideMark/>
                          </w:tcPr>
                          <w:p w14:paraId="1B87E5E9" w14:textId="77777777" w:rsidR="00A03A05" w:rsidRPr="00157ADC" w:rsidRDefault="00A03A05" w:rsidP="0084573E">
                            <w:pPr>
                              <w:spacing w:before="10" w:after="10"/>
                              <w:rPr>
                                <w:color w:val="FFFFFF" w:themeColor="background1"/>
                                <w:sz w:val="16"/>
                                <w:szCs w:val="16"/>
                              </w:rPr>
                            </w:pPr>
                            <w:r>
                              <w:rPr>
                                <w:b/>
                                <w:bCs/>
                                <w:color w:val="FFFFFF" w:themeColor="background1"/>
                                <w:sz w:val="16"/>
                                <w:szCs w:val="16"/>
                              </w:rPr>
                              <w:t>(4) Southe</w:t>
                            </w:r>
                            <w:r w:rsidRPr="00157ADC">
                              <w:rPr>
                                <w:b/>
                                <w:bCs/>
                                <w:color w:val="FFFFFF" w:themeColor="background1"/>
                                <w:sz w:val="16"/>
                                <w:szCs w:val="16"/>
                              </w:rPr>
                              <w:t>ast</w:t>
                            </w:r>
                          </w:p>
                        </w:tc>
                        <w:tc>
                          <w:tcPr>
                            <w:tcW w:w="907" w:type="dxa"/>
                            <w:tcBorders>
                              <w:top w:val="single" w:sz="8" w:space="0" w:color="FFFFFF"/>
                              <w:left w:val="single" w:sz="8" w:space="0" w:color="FFFFFF"/>
                              <w:bottom w:val="single" w:sz="8" w:space="0" w:color="FFFFFF"/>
                              <w:right w:val="single" w:sz="8" w:space="0" w:color="FFFFFF"/>
                            </w:tcBorders>
                            <w:shd w:val="clear" w:color="auto" w:fill="6DB8E4"/>
                            <w:tcMar>
                              <w:top w:w="15" w:type="dxa"/>
                              <w:left w:w="108" w:type="dxa"/>
                              <w:bottom w:w="0" w:type="dxa"/>
                              <w:right w:w="108" w:type="dxa"/>
                            </w:tcMar>
                            <w:vAlign w:val="center"/>
                          </w:tcPr>
                          <w:p w14:paraId="478BD497" w14:textId="77777777" w:rsidR="00A03A05" w:rsidRPr="00157ADC" w:rsidRDefault="00A03A05" w:rsidP="0084573E">
                            <w:pPr>
                              <w:spacing w:before="10" w:after="10"/>
                              <w:jc w:val="center"/>
                              <w:rPr>
                                <w:color w:val="FFFFFF" w:themeColor="background1"/>
                                <w:sz w:val="16"/>
                                <w:szCs w:val="16"/>
                              </w:rPr>
                            </w:pPr>
                            <w:r>
                              <w:rPr>
                                <w:color w:val="FFFFFF" w:themeColor="background1"/>
                                <w:sz w:val="16"/>
                                <w:szCs w:val="16"/>
                              </w:rPr>
                              <w:t>264</w:t>
                            </w:r>
                          </w:p>
                        </w:tc>
                        <w:tc>
                          <w:tcPr>
                            <w:tcW w:w="907" w:type="dxa"/>
                            <w:tcBorders>
                              <w:top w:val="single" w:sz="8" w:space="0" w:color="FFFFFF"/>
                              <w:left w:val="single" w:sz="8" w:space="0" w:color="FFFFFF"/>
                              <w:bottom w:val="single" w:sz="8" w:space="0" w:color="FFFFFF"/>
                              <w:right w:val="single" w:sz="12" w:space="0" w:color="auto"/>
                            </w:tcBorders>
                            <w:shd w:val="clear" w:color="auto" w:fill="6DB8E4"/>
                            <w:tcMar>
                              <w:top w:w="15" w:type="dxa"/>
                              <w:left w:w="108" w:type="dxa"/>
                              <w:bottom w:w="0" w:type="dxa"/>
                              <w:right w:w="108" w:type="dxa"/>
                            </w:tcMar>
                            <w:vAlign w:val="center"/>
                          </w:tcPr>
                          <w:p w14:paraId="5A67807E" w14:textId="77777777" w:rsidR="00A03A05" w:rsidRPr="00157ADC" w:rsidRDefault="00A03A05" w:rsidP="0084573E">
                            <w:pPr>
                              <w:spacing w:before="10" w:after="10"/>
                              <w:jc w:val="center"/>
                              <w:rPr>
                                <w:color w:val="FFFFFF" w:themeColor="background1"/>
                                <w:sz w:val="16"/>
                                <w:szCs w:val="16"/>
                              </w:rPr>
                            </w:pPr>
                            <w:r>
                              <w:rPr>
                                <w:color w:val="FFFFFF" w:themeColor="background1"/>
                                <w:sz w:val="16"/>
                                <w:szCs w:val="16"/>
                              </w:rPr>
                              <w:t>20.1%</w:t>
                            </w:r>
                          </w:p>
                        </w:tc>
                        <w:tc>
                          <w:tcPr>
                            <w:tcW w:w="1191" w:type="dxa"/>
                            <w:tcBorders>
                              <w:top w:val="single" w:sz="8" w:space="0" w:color="FFFFFF" w:themeColor="background1"/>
                              <w:left w:val="single" w:sz="12" w:space="0" w:color="auto"/>
                              <w:bottom w:val="single" w:sz="8" w:space="0" w:color="FFFFFF" w:themeColor="background1"/>
                              <w:right w:val="single" w:sz="12" w:space="0" w:color="auto"/>
                            </w:tcBorders>
                            <w:shd w:val="clear" w:color="auto" w:fill="6DB8E4"/>
                            <w:vAlign w:val="center"/>
                          </w:tcPr>
                          <w:p w14:paraId="4FB9413B" w14:textId="77777777" w:rsidR="00A03A05" w:rsidRPr="00A41384" w:rsidRDefault="00A03A05" w:rsidP="0084573E">
                            <w:pPr>
                              <w:spacing w:before="10" w:after="10"/>
                              <w:jc w:val="center"/>
                              <w:rPr>
                                <w:b/>
                                <w:bCs/>
                                <w:i/>
                                <w:color w:val="FFFFFF" w:themeColor="background1"/>
                                <w:sz w:val="16"/>
                                <w:szCs w:val="16"/>
                              </w:rPr>
                            </w:pPr>
                            <w:r w:rsidRPr="00A41384">
                              <w:rPr>
                                <w:b/>
                                <w:bCs/>
                                <w:i/>
                                <w:color w:val="FFFFFF" w:themeColor="background1"/>
                                <w:sz w:val="16"/>
                                <w:szCs w:val="16"/>
                              </w:rPr>
                              <w:t>19.8%</w:t>
                            </w:r>
                          </w:p>
                        </w:tc>
                      </w:tr>
                      <w:tr w:rsidR="00A03A05" w:rsidRPr="00585AB7" w14:paraId="18FEB62A" w14:textId="77777777" w:rsidTr="0084573E">
                        <w:trPr>
                          <w:trHeight w:val="250"/>
                        </w:trPr>
                        <w:tc>
                          <w:tcPr>
                            <w:tcW w:w="1814" w:type="dxa"/>
                            <w:tcBorders>
                              <w:top w:val="single" w:sz="8" w:space="0" w:color="FFFFFF"/>
                              <w:left w:val="single" w:sz="8" w:space="0" w:color="000000"/>
                              <w:bottom w:val="single" w:sz="8" w:space="0" w:color="FFFFFF"/>
                              <w:right w:val="single" w:sz="8" w:space="0" w:color="FFFFFF"/>
                            </w:tcBorders>
                            <w:shd w:val="clear" w:color="auto" w:fill="3A7BB6"/>
                            <w:tcMar>
                              <w:top w:w="15" w:type="dxa"/>
                              <w:left w:w="108" w:type="dxa"/>
                              <w:bottom w:w="0" w:type="dxa"/>
                              <w:right w:w="108" w:type="dxa"/>
                            </w:tcMar>
                            <w:vAlign w:val="center"/>
                            <w:hideMark/>
                          </w:tcPr>
                          <w:p w14:paraId="090B49F2" w14:textId="77777777" w:rsidR="00A03A05" w:rsidRPr="00157ADC" w:rsidRDefault="00A03A05" w:rsidP="0084573E">
                            <w:pPr>
                              <w:spacing w:before="10" w:after="10"/>
                              <w:rPr>
                                <w:color w:val="FFFFFF" w:themeColor="background1"/>
                                <w:sz w:val="16"/>
                                <w:szCs w:val="16"/>
                              </w:rPr>
                            </w:pPr>
                            <w:r>
                              <w:rPr>
                                <w:b/>
                                <w:bCs/>
                                <w:color w:val="FFFFFF" w:themeColor="background1"/>
                                <w:sz w:val="16"/>
                                <w:szCs w:val="16"/>
                              </w:rPr>
                              <w:t>(5) Southw</w:t>
                            </w:r>
                            <w:r w:rsidRPr="00157ADC">
                              <w:rPr>
                                <w:b/>
                                <w:bCs/>
                                <w:color w:val="FFFFFF" w:themeColor="background1"/>
                                <w:sz w:val="16"/>
                                <w:szCs w:val="16"/>
                              </w:rPr>
                              <w:t>est</w:t>
                            </w:r>
                          </w:p>
                        </w:tc>
                        <w:tc>
                          <w:tcPr>
                            <w:tcW w:w="907" w:type="dxa"/>
                            <w:tcBorders>
                              <w:top w:val="single" w:sz="8" w:space="0" w:color="FFFFFF"/>
                              <w:left w:val="single" w:sz="8" w:space="0" w:color="FFFFFF"/>
                              <w:bottom w:val="single" w:sz="8" w:space="0" w:color="FFFFFF"/>
                              <w:right w:val="single" w:sz="8" w:space="0" w:color="FFFFFF"/>
                            </w:tcBorders>
                            <w:shd w:val="clear" w:color="auto" w:fill="3A7BB6"/>
                            <w:tcMar>
                              <w:top w:w="15" w:type="dxa"/>
                              <w:left w:w="108" w:type="dxa"/>
                              <w:bottom w:w="0" w:type="dxa"/>
                              <w:right w:w="108" w:type="dxa"/>
                            </w:tcMar>
                            <w:vAlign w:val="center"/>
                          </w:tcPr>
                          <w:p w14:paraId="11208CE1" w14:textId="77777777" w:rsidR="00A03A05" w:rsidRPr="00157ADC" w:rsidRDefault="00A03A05" w:rsidP="0084573E">
                            <w:pPr>
                              <w:spacing w:before="10" w:after="10"/>
                              <w:jc w:val="center"/>
                              <w:rPr>
                                <w:color w:val="FFFFFF" w:themeColor="background1"/>
                                <w:sz w:val="16"/>
                                <w:szCs w:val="16"/>
                              </w:rPr>
                            </w:pPr>
                            <w:r>
                              <w:rPr>
                                <w:color w:val="FFFFFF" w:themeColor="background1"/>
                                <w:sz w:val="16"/>
                                <w:szCs w:val="16"/>
                              </w:rPr>
                              <w:t>227</w:t>
                            </w:r>
                          </w:p>
                        </w:tc>
                        <w:tc>
                          <w:tcPr>
                            <w:tcW w:w="907" w:type="dxa"/>
                            <w:tcBorders>
                              <w:top w:val="single" w:sz="8" w:space="0" w:color="FFFFFF"/>
                              <w:left w:val="single" w:sz="8" w:space="0" w:color="FFFFFF"/>
                              <w:bottom w:val="single" w:sz="8" w:space="0" w:color="FFFFFF"/>
                              <w:right w:val="single" w:sz="12" w:space="0" w:color="auto"/>
                            </w:tcBorders>
                            <w:shd w:val="clear" w:color="auto" w:fill="3A7BB6"/>
                            <w:tcMar>
                              <w:top w:w="15" w:type="dxa"/>
                              <w:left w:w="108" w:type="dxa"/>
                              <w:bottom w:w="0" w:type="dxa"/>
                              <w:right w:w="108" w:type="dxa"/>
                            </w:tcMar>
                            <w:vAlign w:val="center"/>
                          </w:tcPr>
                          <w:p w14:paraId="28C93D8D" w14:textId="77777777" w:rsidR="00A03A05" w:rsidRPr="00157ADC" w:rsidRDefault="00A03A05" w:rsidP="0084573E">
                            <w:pPr>
                              <w:spacing w:before="10" w:after="10"/>
                              <w:jc w:val="center"/>
                              <w:rPr>
                                <w:color w:val="FFFFFF" w:themeColor="background1"/>
                                <w:sz w:val="16"/>
                                <w:szCs w:val="16"/>
                              </w:rPr>
                            </w:pPr>
                            <w:r>
                              <w:rPr>
                                <w:color w:val="FFFFFF" w:themeColor="background1"/>
                                <w:sz w:val="16"/>
                                <w:szCs w:val="16"/>
                              </w:rPr>
                              <w:t>17.3%</w:t>
                            </w:r>
                          </w:p>
                        </w:tc>
                        <w:tc>
                          <w:tcPr>
                            <w:tcW w:w="1191" w:type="dxa"/>
                            <w:tcBorders>
                              <w:top w:val="single" w:sz="8" w:space="0" w:color="FFFFFF" w:themeColor="background1"/>
                              <w:left w:val="single" w:sz="12" w:space="0" w:color="auto"/>
                              <w:bottom w:val="single" w:sz="8" w:space="0" w:color="FFFFFF" w:themeColor="background1"/>
                              <w:right w:val="single" w:sz="12" w:space="0" w:color="auto"/>
                            </w:tcBorders>
                            <w:shd w:val="clear" w:color="auto" w:fill="3A7BB6"/>
                            <w:vAlign w:val="center"/>
                          </w:tcPr>
                          <w:p w14:paraId="4B4B0B56" w14:textId="77777777" w:rsidR="00A03A05" w:rsidRPr="00A41384" w:rsidRDefault="00A03A05" w:rsidP="0084573E">
                            <w:pPr>
                              <w:spacing w:before="10" w:after="10"/>
                              <w:jc w:val="center"/>
                              <w:rPr>
                                <w:b/>
                                <w:bCs/>
                                <w:i/>
                                <w:color w:val="FFFFFF" w:themeColor="background1"/>
                                <w:sz w:val="16"/>
                                <w:szCs w:val="16"/>
                              </w:rPr>
                            </w:pPr>
                            <w:r w:rsidRPr="00A41384">
                              <w:rPr>
                                <w:b/>
                                <w:bCs/>
                                <w:i/>
                                <w:color w:val="FFFFFF" w:themeColor="background1"/>
                                <w:sz w:val="16"/>
                                <w:szCs w:val="16"/>
                              </w:rPr>
                              <w:t>16.5%</w:t>
                            </w:r>
                          </w:p>
                        </w:tc>
                      </w:tr>
                      <w:tr w:rsidR="00A03A05" w:rsidRPr="00585AB7" w14:paraId="6706DAD6" w14:textId="77777777" w:rsidTr="0084573E">
                        <w:trPr>
                          <w:trHeight w:val="250"/>
                        </w:trPr>
                        <w:tc>
                          <w:tcPr>
                            <w:tcW w:w="1814" w:type="dxa"/>
                            <w:tcBorders>
                              <w:top w:val="single" w:sz="8" w:space="0" w:color="FFFFFF"/>
                              <w:left w:val="single" w:sz="8" w:space="0" w:color="000000"/>
                              <w:bottom w:val="single" w:sz="8" w:space="0" w:color="auto"/>
                              <w:right w:val="single" w:sz="8" w:space="0" w:color="FFFFFF"/>
                            </w:tcBorders>
                            <w:shd w:val="clear" w:color="auto" w:fill="F1F1F1"/>
                            <w:tcMar>
                              <w:top w:w="15" w:type="dxa"/>
                              <w:left w:w="108" w:type="dxa"/>
                              <w:bottom w:w="0" w:type="dxa"/>
                              <w:right w:w="108" w:type="dxa"/>
                            </w:tcMar>
                            <w:vAlign w:val="center"/>
                            <w:hideMark/>
                          </w:tcPr>
                          <w:p w14:paraId="7E9F2D84" w14:textId="77777777" w:rsidR="00A03A05" w:rsidRPr="00157ADC" w:rsidRDefault="00A03A05" w:rsidP="0084573E">
                            <w:pPr>
                              <w:spacing w:before="10" w:after="10"/>
                              <w:rPr>
                                <w:sz w:val="16"/>
                                <w:szCs w:val="16"/>
                              </w:rPr>
                            </w:pPr>
                            <w:r>
                              <w:rPr>
                                <w:b/>
                                <w:bCs/>
                                <w:sz w:val="16"/>
                                <w:szCs w:val="16"/>
                              </w:rPr>
                              <w:t xml:space="preserve">(6) </w:t>
                            </w:r>
                            <w:r w:rsidRPr="00157ADC">
                              <w:rPr>
                                <w:b/>
                                <w:bCs/>
                                <w:sz w:val="16"/>
                                <w:szCs w:val="16"/>
                              </w:rPr>
                              <w:t>Non-metropolitan</w:t>
                            </w:r>
                          </w:p>
                        </w:tc>
                        <w:tc>
                          <w:tcPr>
                            <w:tcW w:w="907" w:type="dxa"/>
                            <w:tcBorders>
                              <w:top w:val="single" w:sz="8" w:space="0" w:color="FFFFFF"/>
                              <w:left w:val="single" w:sz="8" w:space="0" w:color="FFFFFF"/>
                              <w:bottom w:val="single" w:sz="8" w:space="0" w:color="auto"/>
                              <w:right w:val="single" w:sz="8" w:space="0" w:color="FFFFFF"/>
                            </w:tcBorders>
                            <w:shd w:val="clear" w:color="auto" w:fill="F1F1F1"/>
                            <w:tcMar>
                              <w:top w:w="15" w:type="dxa"/>
                              <w:left w:w="108" w:type="dxa"/>
                              <w:bottom w:w="0" w:type="dxa"/>
                              <w:right w:w="108" w:type="dxa"/>
                            </w:tcMar>
                            <w:vAlign w:val="center"/>
                          </w:tcPr>
                          <w:p w14:paraId="3BA20D00" w14:textId="77777777" w:rsidR="00A03A05" w:rsidRPr="00157ADC" w:rsidRDefault="00A03A05" w:rsidP="0084573E">
                            <w:pPr>
                              <w:spacing w:before="10" w:after="10"/>
                              <w:jc w:val="center"/>
                              <w:rPr>
                                <w:sz w:val="16"/>
                                <w:szCs w:val="16"/>
                              </w:rPr>
                            </w:pPr>
                            <w:r>
                              <w:rPr>
                                <w:sz w:val="16"/>
                                <w:szCs w:val="16"/>
                              </w:rPr>
                              <w:t>322</w:t>
                            </w:r>
                          </w:p>
                        </w:tc>
                        <w:tc>
                          <w:tcPr>
                            <w:tcW w:w="907" w:type="dxa"/>
                            <w:tcBorders>
                              <w:top w:val="single" w:sz="8" w:space="0" w:color="FFFFFF"/>
                              <w:left w:val="single" w:sz="8" w:space="0" w:color="FFFFFF"/>
                              <w:bottom w:val="single" w:sz="8" w:space="0" w:color="auto"/>
                              <w:right w:val="single" w:sz="12" w:space="0" w:color="auto"/>
                            </w:tcBorders>
                            <w:shd w:val="clear" w:color="auto" w:fill="F1F1F1"/>
                            <w:tcMar>
                              <w:top w:w="15" w:type="dxa"/>
                              <w:left w:w="108" w:type="dxa"/>
                              <w:bottom w:w="0" w:type="dxa"/>
                              <w:right w:w="108" w:type="dxa"/>
                            </w:tcMar>
                            <w:vAlign w:val="center"/>
                          </w:tcPr>
                          <w:p w14:paraId="52D98FFE" w14:textId="77777777" w:rsidR="00A03A05" w:rsidRPr="00157ADC" w:rsidRDefault="00A03A05" w:rsidP="0084573E">
                            <w:pPr>
                              <w:spacing w:before="10" w:after="10"/>
                              <w:jc w:val="center"/>
                              <w:rPr>
                                <w:sz w:val="16"/>
                                <w:szCs w:val="16"/>
                              </w:rPr>
                            </w:pPr>
                            <w:r>
                              <w:rPr>
                                <w:sz w:val="16"/>
                                <w:szCs w:val="16"/>
                              </w:rPr>
                              <w:t>24.6%</w:t>
                            </w:r>
                          </w:p>
                        </w:tc>
                        <w:tc>
                          <w:tcPr>
                            <w:tcW w:w="1191" w:type="dxa"/>
                            <w:tcBorders>
                              <w:top w:val="single" w:sz="8" w:space="0" w:color="FFFFFF" w:themeColor="background1"/>
                              <w:left w:val="single" w:sz="12" w:space="0" w:color="auto"/>
                              <w:bottom w:val="single" w:sz="12" w:space="0" w:color="auto"/>
                              <w:right w:val="single" w:sz="12" w:space="0" w:color="auto"/>
                            </w:tcBorders>
                            <w:shd w:val="clear" w:color="auto" w:fill="F1F1F1"/>
                            <w:vAlign w:val="center"/>
                          </w:tcPr>
                          <w:p w14:paraId="7F75D8B0" w14:textId="77777777" w:rsidR="00A03A05" w:rsidRPr="00A41384" w:rsidRDefault="00A03A05" w:rsidP="0084573E">
                            <w:pPr>
                              <w:spacing w:before="10" w:after="10"/>
                              <w:jc w:val="center"/>
                              <w:rPr>
                                <w:bCs/>
                                <w:i/>
                                <w:sz w:val="16"/>
                                <w:szCs w:val="16"/>
                              </w:rPr>
                            </w:pPr>
                            <w:r w:rsidRPr="00A41384">
                              <w:rPr>
                                <w:bCs/>
                                <w:i/>
                                <w:sz w:val="16"/>
                                <w:szCs w:val="16"/>
                              </w:rPr>
                              <w:t>24.7%</w:t>
                            </w:r>
                          </w:p>
                        </w:tc>
                      </w:tr>
                    </w:tbl>
                    <w:p w14:paraId="0D062A2C" w14:textId="77777777" w:rsidR="00A03A05" w:rsidRDefault="00A03A05" w:rsidP="00114CFC"/>
                  </w:txbxContent>
                </v:textbox>
              </v:shape>
            </w:pict>
          </mc:Fallback>
        </mc:AlternateContent>
      </w:r>
      <w:r>
        <w:rPr>
          <w:noProof/>
          <w:lang w:eastAsia="en-AU"/>
        </w:rPr>
        <mc:AlternateContent>
          <mc:Choice Requires="wps">
            <w:drawing>
              <wp:anchor distT="0" distB="0" distL="114300" distR="114300" simplePos="0" relativeHeight="252710912" behindDoc="0" locked="0" layoutInCell="1" allowOverlap="1" wp14:anchorId="1B25103E" wp14:editId="77ECC84D">
                <wp:simplePos x="0" y="0"/>
                <wp:positionH relativeFrom="column">
                  <wp:posOffset>1631315</wp:posOffset>
                </wp:positionH>
                <wp:positionV relativeFrom="paragraph">
                  <wp:posOffset>4723130</wp:posOffset>
                </wp:positionV>
                <wp:extent cx="257175" cy="1403985"/>
                <wp:effectExtent l="0" t="0" r="0" b="0"/>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1403985"/>
                        </a:xfrm>
                        <a:prstGeom prst="rect">
                          <a:avLst/>
                        </a:prstGeom>
                        <a:noFill/>
                        <a:ln w="9525">
                          <a:noFill/>
                          <a:miter lim="800000"/>
                          <a:headEnd/>
                          <a:tailEnd/>
                        </a:ln>
                      </wps:spPr>
                      <wps:txbx>
                        <w:txbxContent>
                          <w:p w14:paraId="408C9913" w14:textId="77777777" w:rsidR="00A03A05" w:rsidRPr="004B30D8" w:rsidRDefault="00A03A05" w:rsidP="00114CFC">
                            <w:pPr>
                              <w:rPr>
                                <w:b/>
                                <w:color w:val="FFFFFF" w:themeColor="background1"/>
                                <w:sz w:val="18"/>
                                <w:szCs w:val="18"/>
                              </w:rPr>
                            </w:pPr>
                            <w:r>
                              <w:rPr>
                                <w:b/>
                                <w:color w:val="FFFFFF" w:themeColor="background1"/>
                                <w:sz w:val="18"/>
                                <w:szCs w:val="18"/>
                              </w:rPr>
                              <w:t>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8" type="#_x0000_t202" style="position:absolute;margin-left:128.45pt;margin-top:371.9pt;width:20.25pt;height:110.55pt;z-index:2527109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" filled="f" stroked="f">
                <v:textbox style="mso-fit-shape-to-text:t">
                  <w:txbxContent>
                    <w:p w14:paraId="408C9913" w14:textId="77777777" w:rsidR="00A03A05" w:rsidRPr="004B30D8" w:rsidRDefault="00A03A05" w:rsidP="00114CFC">
                      <w:pPr>
                        <w:rPr>
                          <w:b/>
                          <w:color w:val="FFFFFF" w:themeColor="background1"/>
                          <w:sz w:val="18"/>
                          <w:szCs w:val="18"/>
                        </w:rPr>
                      </w:pPr>
                      <w:r>
                        <w:rPr>
                          <w:b/>
                          <w:color w:val="FFFFFF" w:themeColor="background1"/>
                          <w:sz w:val="18"/>
                          <w:szCs w:val="18"/>
                        </w:rPr>
                        <w:t>3</w:t>
                      </w:r>
                    </w:p>
                  </w:txbxContent>
                </v:textbox>
              </v:shape>
            </w:pict>
          </mc:Fallback>
        </mc:AlternateContent>
      </w:r>
      <w:r>
        <w:rPr>
          <w:noProof/>
          <w:lang w:eastAsia="en-AU"/>
        </w:rPr>
        <mc:AlternateContent>
          <mc:Choice Requires="wps">
            <w:drawing>
              <wp:anchor distT="0" distB="0" distL="114300" distR="114300" simplePos="0" relativeHeight="252709888" behindDoc="0" locked="0" layoutInCell="1" allowOverlap="1" wp14:anchorId="51CD3180" wp14:editId="47F0DB2F">
                <wp:simplePos x="0" y="0"/>
                <wp:positionH relativeFrom="column">
                  <wp:posOffset>1707515</wp:posOffset>
                </wp:positionH>
                <wp:positionV relativeFrom="paragraph">
                  <wp:posOffset>5932805</wp:posOffset>
                </wp:positionV>
                <wp:extent cx="257175" cy="1403985"/>
                <wp:effectExtent l="0" t="0" r="0" b="0"/>
                <wp:wrapNone/>
                <wp:docPr id="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1403985"/>
                        </a:xfrm>
                        <a:prstGeom prst="rect">
                          <a:avLst/>
                        </a:prstGeom>
                        <a:noFill/>
                        <a:ln w="9525">
                          <a:noFill/>
                          <a:miter lim="800000"/>
                          <a:headEnd/>
                          <a:tailEnd/>
                        </a:ln>
                      </wps:spPr>
                      <wps:txbx>
                        <w:txbxContent>
                          <w:p w14:paraId="6CD9457E" w14:textId="77777777" w:rsidR="00A03A05" w:rsidRPr="004B30D8" w:rsidRDefault="00A03A05" w:rsidP="00114CFC">
                            <w:pPr>
                              <w:rPr>
                                <w:b/>
                                <w:color w:val="FFFFFF" w:themeColor="background1"/>
                                <w:sz w:val="18"/>
                                <w:szCs w:val="18"/>
                              </w:rPr>
                            </w:pPr>
                            <w:r>
                              <w:rPr>
                                <w:b/>
                                <w:color w:val="FFFFFF" w:themeColor="background1"/>
                                <w:sz w:val="18"/>
                                <w:szCs w:val="18"/>
                              </w:rPr>
                              <w:t>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9" type="#_x0000_t202" style="position:absolute;margin-left:134.45pt;margin-top:467.15pt;width:20.25pt;height:110.55pt;z-index:2527098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" filled="f" stroked="f">
                <v:textbox style="mso-fit-shape-to-text:t">
                  <w:txbxContent>
                    <w:p w14:paraId="6CD9457E" w14:textId="77777777" w:rsidR="00A03A05" w:rsidRPr="004B30D8" w:rsidRDefault="00A03A05" w:rsidP="00114CFC">
                      <w:pPr>
                        <w:rPr>
                          <w:b/>
                          <w:color w:val="FFFFFF" w:themeColor="background1"/>
                          <w:sz w:val="18"/>
                          <w:szCs w:val="18"/>
                        </w:rPr>
                      </w:pPr>
                      <w:r>
                        <w:rPr>
                          <w:b/>
                          <w:color w:val="FFFFFF" w:themeColor="background1"/>
                          <w:sz w:val="18"/>
                          <w:szCs w:val="18"/>
                        </w:rPr>
                        <w:t>5</w:t>
                      </w:r>
                    </w:p>
                  </w:txbxContent>
                </v:textbox>
              </v:shape>
            </w:pict>
          </mc:Fallback>
        </mc:AlternateContent>
      </w:r>
      <w:r>
        <w:rPr>
          <w:noProof/>
          <w:lang w:eastAsia="en-AU"/>
        </w:rPr>
        <mc:AlternateContent>
          <mc:Choice Requires="wps">
            <w:drawing>
              <wp:anchor distT="0" distB="0" distL="114300" distR="114300" simplePos="0" relativeHeight="252708864" behindDoc="0" locked="0" layoutInCell="1" allowOverlap="1" wp14:anchorId="7E157230" wp14:editId="17CA8CA8">
                <wp:simplePos x="0" y="0"/>
                <wp:positionH relativeFrom="column">
                  <wp:posOffset>2888615</wp:posOffset>
                </wp:positionH>
                <wp:positionV relativeFrom="paragraph">
                  <wp:posOffset>5929630</wp:posOffset>
                </wp:positionV>
                <wp:extent cx="257175" cy="1403985"/>
                <wp:effectExtent l="0" t="0" r="0" b="0"/>
                <wp:wrapNone/>
                <wp:docPr id="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1403985"/>
                        </a:xfrm>
                        <a:prstGeom prst="rect">
                          <a:avLst/>
                        </a:prstGeom>
                        <a:noFill/>
                        <a:ln w="9525">
                          <a:noFill/>
                          <a:miter lim="800000"/>
                          <a:headEnd/>
                          <a:tailEnd/>
                        </a:ln>
                      </wps:spPr>
                      <wps:txbx>
                        <w:txbxContent>
                          <w:p w14:paraId="664BD993" w14:textId="77777777" w:rsidR="00A03A05" w:rsidRPr="004B30D8" w:rsidRDefault="00A03A05" w:rsidP="00114CFC">
                            <w:pPr>
                              <w:rPr>
                                <w:b/>
                                <w:color w:val="FFFFFF" w:themeColor="background1"/>
                                <w:sz w:val="18"/>
                                <w:szCs w:val="18"/>
                              </w:rPr>
                            </w:pPr>
                            <w:r>
                              <w:rPr>
                                <w:b/>
                                <w:color w:val="FFFFFF" w:themeColor="background1"/>
                                <w:sz w:val="18"/>
                                <w:szCs w:val="18"/>
                              </w:rPr>
                              <w:t>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0" type="#_x0000_t202" style="position:absolute;margin-left:227.45pt;margin-top:466.9pt;width:20.25pt;height:110.55pt;z-index:2527088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" filled="f" stroked="f">
                <v:textbox style="mso-fit-shape-to-text:t">
                  <w:txbxContent>
                    <w:p w14:paraId="664BD993" w14:textId="77777777" w:rsidR="00A03A05" w:rsidRPr="004B30D8" w:rsidRDefault="00A03A05" w:rsidP="00114CFC">
                      <w:pPr>
                        <w:rPr>
                          <w:b/>
                          <w:color w:val="FFFFFF" w:themeColor="background1"/>
                          <w:sz w:val="18"/>
                          <w:szCs w:val="18"/>
                        </w:rPr>
                      </w:pPr>
                      <w:r>
                        <w:rPr>
                          <w:b/>
                          <w:color w:val="FFFFFF" w:themeColor="background1"/>
                          <w:sz w:val="18"/>
                          <w:szCs w:val="18"/>
                        </w:rPr>
                        <w:t>4</w:t>
                      </w:r>
                    </w:p>
                  </w:txbxContent>
                </v:textbox>
              </v:shape>
            </w:pict>
          </mc:Fallback>
        </mc:AlternateContent>
      </w:r>
      <w:r>
        <w:rPr>
          <w:noProof/>
          <w:lang w:eastAsia="en-AU"/>
        </w:rPr>
        <mc:AlternateContent>
          <mc:Choice Requires="wps">
            <w:drawing>
              <wp:anchor distT="0" distB="0" distL="114300" distR="114300" simplePos="0" relativeHeight="252711936" behindDoc="0" locked="0" layoutInCell="1" allowOverlap="1" wp14:anchorId="5082CE30" wp14:editId="452CFA61">
                <wp:simplePos x="0" y="0"/>
                <wp:positionH relativeFrom="column">
                  <wp:posOffset>4984115</wp:posOffset>
                </wp:positionH>
                <wp:positionV relativeFrom="paragraph">
                  <wp:posOffset>5570855</wp:posOffset>
                </wp:positionV>
                <wp:extent cx="257175" cy="1403985"/>
                <wp:effectExtent l="0" t="0" r="0" b="0"/>
                <wp:wrapNone/>
                <wp:docPr id="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1403985"/>
                        </a:xfrm>
                        <a:prstGeom prst="rect">
                          <a:avLst/>
                        </a:prstGeom>
                        <a:noFill/>
                        <a:ln w="9525">
                          <a:noFill/>
                          <a:miter lim="800000"/>
                          <a:headEnd/>
                          <a:tailEnd/>
                        </a:ln>
                      </wps:spPr>
                      <wps:txbx>
                        <w:txbxContent>
                          <w:p w14:paraId="06E6BE56" w14:textId="77777777" w:rsidR="00A03A05" w:rsidRPr="004B30D8" w:rsidRDefault="00A03A05" w:rsidP="00114CFC">
                            <w:pPr>
                              <w:rPr>
                                <w:b/>
                                <w:sz w:val="18"/>
                                <w:szCs w:val="18"/>
                              </w:rPr>
                            </w:pPr>
                            <w:r>
                              <w:rPr>
                                <w:b/>
                                <w:sz w:val="18"/>
                                <w:szCs w:val="18"/>
                              </w:rP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1" type="#_x0000_t202" style="position:absolute;margin-left:392.45pt;margin-top:438.65pt;width:20.25pt;height:110.55pt;z-index:2527119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" filled="f" stroked="f">
                <v:textbox style="mso-fit-shape-to-text:t">
                  <w:txbxContent>
                    <w:p w14:paraId="06E6BE56" w14:textId="77777777" w:rsidR="00A03A05" w:rsidRPr="004B30D8" w:rsidRDefault="00A03A05" w:rsidP="00114CFC">
                      <w:pPr>
                        <w:rPr>
                          <w:b/>
                          <w:sz w:val="18"/>
                          <w:szCs w:val="18"/>
                        </w:rPr>
                      </w:pPr>
                      <w:r>
                        <w:rPr>
                          <w:b/>
                          <w:sz w:val="18"/>
                          <w:szCs w:val="18"/>
                        </w:rPr>
                        <w:t>6</w:t>
                      </w:r>
                    </w:p>
                  </w:txbxContent>
                </v:textbox>
              </v:shape>
            </w:pict>
          </mc:Fallback>
        </mc:AlternateContent>
      </w:r>
      <w:r>
        <w:rPr>
          <w:noProof/>
          <w:lang w:eastAsia="en-AU"/>
        </w:rPr>
        <mc:AlternateContent>
          <mc:Choice Requires="wps">
            <w:drawing>
              <wp:anchor distT="0" distB="0" distL="114300" distR="114300" simplePos="0" relativeHeight="252707840" behindDoc="0" locked="0" layoutInCell="1" allowOverlap="1" wp14:anchorId="698E2723" wp14:editId="0D8069FF">
                <wp:simplePos x="0" y="0"/>
                <wp:positionH relativeFrom="column">
                  <wp:posOffset>2945765</wp:posOffset>
                </wp:positionH>
                <wp:positionV relativeFrom="paragraph">
                  <wp:posOffset>3875405</wp:posOffset>
                </wp:positionV>
                <wp:extent cx="257175" cy="1403985"/>
                <wp:effectExtent l="0" t="0" r="0" b="0"/>
                <wp:wrapNone/>
                <wp:docPr id="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1403985"/>
                        </a:xfrm>
                        <a:prstGeom prst="rect">
                          <a:avLst/>
                        </a:prstGeom>
                        <a:noFill/>
                        <a:ln w="9525">
                          <a:noFill/>
                          <a:miter lim="800000"/>
                          <a:headEnd/>
                          <a:tailEnd/>
                        </a:ln>
                      </wps:spPr>
                      <wps:txbx>
                        <w:txbxContent>
                          <w:p w14:paraId="5D20AC3A" w14:textId="77777777" w:rsidR="00A03A05" w:rsidRPr="004B30D8" w:rsidRDefault="00A03A05" w:rsidP="00114CFC">
                            <w:pPr>
                              <w:rPr>
                                <w:b/>
                                <w:sz w:val="18"/>
                                <w:szCs w:val="18"/>
                              </w:rPr>
                            </w:pPr>
                            <w:r>
                              <w:rPr>
                                <w:b/>
                                <w:sz w:val="18"/>
                                <w:szCs w:val="18"/>
                              </w:rPr>
                              <w:t>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2" type="#_x0000_t202" style="position:absolute;margin-left:231.95pt;margin-top:305.15pt;width:20.25pt;height:110.55pt;z-index:252707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" filled="f" stroked="f">
                <v:textbox style="mso-fit-shape-to-text:t">
                  <w:txbxContent>
                    <w:p w14:paraId="5D20AC3A" w14:textId="77777777" w:rsidR="00A03A05" w:rsidRPr="004B30D8" w:rsidRDefault="00A03A05" w:rsidP="00114CFC">
                      <w:pPr>
                        <w:rPr>
                          <w:b/>
                          <w:sz w:val="18"/>
                          <w:szCs w:val="18"/>
                        </w:rPr>
                      </w:pPr>
                      <w:r>
                        <w:rPr>
                          <w:b/>
                          <w:sz w:val="18"/>
                          <w:szCs w:val="18"/>
                        </w:rPr>
                        <w:t>2</w:t>
                      </w:r>
                    </w:p>
                  </w:txbxContent>
                </v:textbox>
              </v:shape>
            </w:pict>
          </mc:Fallback>
        </mc:AlternateContent>
      </w:r>
      <w:r>
        <w:rPr>
          <w:noProof/>
          <w:lang w:eastAsia="en-AU"/>
        </w:rPr>
        <mc:AlternateContent>
          <mc:Choice Requires="wps">
            <w:drawing>
              <wp:anchor distT="0" distB="0" distL="114300" distR="114300" simplePos="0" relativeHeight="252706816" behindDoc="0" locked="0" layoutInCell="1" allowOverlap="1" wp14:anchorId="126F0DEB" wp14:editId="49759F47">
                <wp:simplePos x="0" y="0"/>
                <wp:positionH relativeFrom="column">
                  <wp:posOffset>1371600</wp:posOffset>
                </wp:positionH>
                <wp:positionV relativeFrom="paragraph">
                  <wp:posOffset>3408680</wp:posOffset>
                </wp:positionV>
                <wp:extent cx="257175" cy="1403985"/>
                <wp:effectExtent l="0" t="0" r="0" b="0"/>
                <wp:wrapNone/>
                <wp:docPr id="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1403985"/>
                        </a:xfrm>
                        <a:prstGeom prst="rect">
                          <a:avLst/>
                        </a:prstGeom>
                        <a:noFill/>
                        <a:ln w="9525">
                          <a:noFill/>
                          <a:miter lim="800000"/>
                          <a:headEnd/>
                          <a:tailEnd/>
                        </a:ln>
                      </wps:spPr>
                      <wps:txbx>
                        <w:txbxContent>
                          <w:p w14:paraId="497C15BF" w14:textId="77777777" w:rsidR="00A03A05" w:rsidRPr="004B30D8" w:rsidRDefault="00A03A05" w:rsidP="00114CFC">
                            <w:pPr>
                              <w:rPr>
                                <w:b/>
                                <w:sz w:val="18"/>
                                <w:szCs w:val="18"/>
                              </w:rPr>
                            </w:pPr>
                            <w:r w:rsidRPr="004B30D8">
                              <w:rPr>
                                <w:b/>
                                <w:sz w:val="18"/>
                                <w:szCs w:val="18"/>
                              </w:rPr>
                              <w:t>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83" type="#_x0000_t202" style="position:absolute;margin-left:108pt;margin-top:268.4pt;width:20.25pt;height:110.55pt;z-index:2527068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" filled="f" stroked="f">
                <v:textbox style="mso-fit-shape-to-text:t">
                  <w:txbxContent>
                    <w:p w14:paraId="497C15BF" w14:textId="77777777" w:rsidR="00A03A05" w:rsidRPr="004B30D8" w:rsidRDefault="00A03A05" w:rsidP="00114CFC">
                      <w:pPr>
                        <w:rPr>
                          <w:b/>
                          <w:sz w:val="18"/>
                          <w:szCs w:val="18"/>
                        </w:rPr>
                      </w:pPr>
                      <w:r w:rsidRPr="004B30D8">
                        <w:rPr>
                          <w:b/>
                          <w:sz w:val="18"/>
                          <w:szCs w:val="18"/>
                        </w:rPr>
                        <w:t>1</w:t>
                      </w:r>
                    </w:p>
                  </w:txbxContent>
                </v:textbox>
              </v:shape>
            </w:pict>
          </mc:Fallback>
        </mc:AlternateContent>
      </w:r>
      <w:r>
        <w:rPr>
          <w:noProof/>
          <w:lang w:eastAsia="en-AU"/>
        </w:rPr>
        <w:drawing>
          <wp:inline distT="0" distB="0" distL="0" distR="0" wp14:anchorId="406C3565" wp14:editId="12492BED">
            <wp:extent cx="5676900" cy="8020367"/>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 ARmap v4.png"/>
                    <pic:cNvPicPr/>
                  </pic:nvPicPr>
                  <pic:blipFill>
                    <a:blip r:embed="rId17">
                      <a:extLst>
                        <a:ext uri="{28A0092B-C50C-407E-A947-70E740481C1C}">
                          <a14:useLocalDpi xmlns:a14="http://schemas.microsoft.com/office/drawing/2010/main" val="0"/>
                        </a:ext>
                      </a:extLst>
                    </a:blip>
                    <a:stretch>
                      <a:fillRect/>
                    </a:stretch>
                  </pic:blipFill>
                  <pic:spPr>
                    <a:xfrm>
                      <a:off x="0" y="0"/>
                      <a:ext cx="5677790" cy="8021625"/>
                    </a:xfrm>
                    <a:prstGeom prst="rect">
                      <a:avLst/>
                    </a:prstGeom>
                  </pic:spPr>
                </pic:pic>
              </a:graphicData>
            </a:graphic>
          </wp:inline>
        </w:drawing>
      </w:r>
    </w:p>
    <w:p w14:paraId="7FA984A4" w14:textId="77777777" w:rsidR="00114CFC" w:rsidRPr="00120331" w:rsidRDefault="00114CFC" w:rsidP="00114CFC">
      <w:pPr>
        <w:spacing w:after="200"/>
        <w:rPr>
          <w:i/>
          <w:sz w:val="16"/>
          <w:szCs w:val="16"/>
        </w:rPr>
      </w:pPr>
      <w:r>
        <w:rPr>
          <w:i/>
          <w:sz w:val="16"/>
          <w:szCs w:val="16"/>
        </w:rPr>
        <w:br/>
        <w:t>In some instances, location</w:t>
      </w:r>
      <w:r w:rsidRPr="00D27A59">
        <w:rPr>
          <w:i/>
          <w:sz w:val="16"/>
          <w:szCs w:val="16"/>
        </w:rPr>
        <w:t xml:space="preserve"> information </w:t>
      </w:r>
      <w:r>
        <w:rPr>
          <w:i/>
          <w:sz w:val="16"/>
          <w:szCs w:val="16"/>
        </w:rPr>
        <w:t>was not</w:t>
      </w:r>
      <w:r w:rsidRPr="00D27A59">
        <w:rPr>
          <w:i/>
          <w:sz w:val="16"/>
          <w:szCs w:val="16"/>
        </w:rPr>
        <w:t xml:space="preserve"> collected</w:t>
      </w:r>
      <w:r>
        <w:rPr>
          <w:i/>
          <w:sz w:val="16"/>
          <w:szCs w:val="16"/>
        </w:rPr>
        <w:t xml:space="preserve"> (n=525). Individuals in a prison or an immigration detention centre are excluded from the analysis (n=436). The metropolitan and non-metropolitan regions adapted from </w:t>
      </w:r>
      <w:r w:rsidRPr="00E054C4">
        <w:rPr>
          <w:i/>
          <w:sz w:val="16"/>
          <w:szCs w:val="16"/>
        </w:rPr>
        <w:t>schedule 3 of the Planning and Development Act 2005</w:t>
      </w:r>
      <w:r>
        <w:rPr>
          <w:i/>
          <w:sz w:val="16"/>
          <w:szCs w:val="16"/>
        </w:rPr>
        <w:t xml:space="preserve"> and ABS Statistical Areas</w:t>
      </w:r>
      <w:r w:rsidRPr="008B1B75">
        <w:rPr>
          <w:i/>
          <w:sz w:val="16"/>
          <w:szCs w:val="16"/>
        </w:rPr>
        <w:t xml:space="preserve"> </w:t>
      </w:r>
      <w:r>
        <w:rPr>
          <w:i/>
          <w:sz w:val="16"/>
          <w:szCs w:val="16"/>
        </w:rPr>
        <w:t xml:space="preserve">Level 2. Population data derived from the </w:t>
      </w:r>
      <w:r w:rsidRPr="00E054C4">
        <w:rPr>
          <w:i/>
          <w:sz w:val="16"/>
          <w:szCs w:val="16"/>
        </w:rPr>
        <w:t xml:space="preserve">2017 estimated residential population (ERP) data published by the </w:t>
      </w:r>
      <w:r>
        <w:rPr>
          <w:i/>
          <w:sz w:val="16"/>
          <w:szCs w:val="16"/>
        </w:rPr>
        <w:t>ABS.</w:t>
      </w:r>
    </w:p>
    <w:p w14:paraId="53302B94" w14:textId="640C1E74" w:rsidR="00F70F07" w:rsidRPr="004A0004" w:rsidRDefault="00F70F07" w:rsidP="00F70F07">
      <w:pPr>
        <w:rPr>
          <w:rFonts w:eastAsiaTheme="majorEastAsia" w:cstheme="majorBidi"/>
          <w:b/>
          <w:bCs/>
          <w:iCs/>
        </w:rPr>
      </w:pPr>
      <w:r w:rsidRPr="00917FE9">
        <w:rPr>
          <w:rFonts w:eastAsiaTheme="majorEastAsia" w:cstheme="majorBidi"/>
          <w:b/>
          <w:bCs/>
          <w:iCs/>
        </w:rPr>
        <w:lastRenderedPageBreak/>
        <w:t>Time taken to resolve complaints</w:t>
      </w:r>
    </w:p>
    <w:p w14:paraId="7A04B3A4" w14:textId="77777777" w:rsidR="00F70F07" w:rsidRPr="00E27E14" w:rsidRDefault="00F70F07" w:rsidP="00F70F07">
      <w:pPr>
        <w:jc w:val="both"/>
        <w:rPr>
          <w:rFonts w:eastAsiaTheme="majorEastAsia" w:cstheme="majorBidi"/>
          <w:b/>
          <w:bCs/>
          <w:iCs/>
          <w:color w:val="2487C4"/>
        </w:rPr>
      </w:pPr>
    </w:p>
    <w:p w14:paraId="02E94819" w14:textId="77777777" w:rsidR="00EC31A3" w:rsidRDefault="00EC31A3" w:rsidP="00EC31A3">
      <w:pPr>
        <w:pStyle w:val="Normal-L3"/>
        <w:rPr>
          <w:rFonts w:eastAsiaTheme="majorEastAsia" w:cstheme="majorBidi"/>
          <w:bCs/>
          <w:color w:val="000000" w:themeColor="text1"/>
          <w:szCs w:val="24"/>
        </w:rPr>
      </w:pPr>
      <w:r>
        <w:rPr>
          <w:rFonts w:eastAsiaTheme="majorEastAsia" w:cstheme="majorBidi"/>
          <w:bCs/>
          <w:color w:val="000000" w:themeColor="text1"/>
          <w:szCs w:val="24"/>
        </w:rPr>
        <w:t xml:space="preserve">HaDSCO works to statutory timeframes for the management of complaints set out in the </w:t>
      </w:r>
      <w:r w:rsidRPr="001A00E3">
        <w:rPr>
          <w:rFonts w:eastAsiaTheme="majorEastAsia" w:cstheme="majorBidi"/>
          <w:bCs/>
          <w:i/>
          <w:color w:val="000000" w:themeColor="text1"/>
          <w:szCs w:val="24"/>
        </w:rPr>
        <w:t>Health and Disability Services (Complaints) Act 1995</w:t>
      </w:r>
      <w:r>
        <w:rPr>
          <w:rFonts w:eastAsiaTheme="majorEastAsia" w:cstheme="majorBidi"/>
          <w:bCs/>
          <w:color w:val="000000" w:themeColor="text1"/>
          <w:szCs w:val="24"/>
        </w:rPr>
        <w:t xml:space="preserve"> and other enabling legislation. The operational target for each legislated timeframe, and the result achieved in 2017-18, are shown in </w:t>
      </w:r>
      <w:r w:rsidRPr="001448A5">
        <w:rPr>
          <w:rFonts w:eastAsiaTheme="majorEastAsia" w:cstheme="majorBidi"/>
          <w:bCs/>
          <w:color w:val="000000" w:themeColor="text1"/>
          <w:szCs w:val="24"/>
        </w:rPr>
        <w:t>Table 1.</w:t>
      </w:r>
    </w:p>
    <w:p w14:paraId="4A7F8787" w14:textId="77777777" w:rsidR="00EC31A3" w:rsidRDefault="00EC31A3" w:rsidP="00EC31A3">
      <w:pPr>
        <w:pStyle w:val="Normal-L3"/>
        <w:rPr>
          <w:rFonts w:eastAsiaTheme="majorEastAsia" w:cstheme="majorBidi"/>
          <w:bCs/>
          <w:color w:val="000000" w:themeColor="text1"/>
          <w:szCs w:val="24"/>
        </w:rPr>
      </w:pPr>
    </w:p>
    <w:p w14:paraId="5A674503" w14:textId="6AEE7C96" w:rsidR="009A7095" w:rsidRPr="009A7095" w:rsidRDefault="00EC31A3" w:rsidP="009A7095">
      <w:pPr>
        <w:pStyle w:val="Normal-L3"/>
        <w:rPr>
          <w:rFonts w:eastAsiaTheme="majorEastAsia" w:cstheme="majorBidi"/>
          <w:bCs/>
          <w:color w:val="000000" w:themeColor="text1"/>
          <w:szCs w:val="24"/>
        </w:rPr>
      </w:pPr>
      <w:r w:rsidRPr="009A7095">
        <w:rPr>
          <w:rFonts w:eastAsiaTheme="majorEastAsia" w:cstheme="majorBidi"/>
          <w:bCs/>
          <w:color w:val="000000" w:themeColor="text1"/>
          <w:szCs w:val="24"/>
        </w:rPr>
        <w:t>In 2017-18, the Office met or exceeded the targets relating to preliminary assessment of complaints, and resolution of complaints in negotiated settlement. The</w:t>
      </w:r>
      <w:r w:rsidR="00B64041">
        <w:rPr>
          <w:rFonts w:eastAsiaTheme="majorEastAsia" w:cstheme="majorBidi"/>
          <w:bCs/>
          <w:color w:val="000000" w:themeColor="text1"/>
          <w:szCs w:val="24"/>
        </w:rPr>
        <w:t xml:space="preserve"> office did not meet the target</w:t>
      </w:r>
      <w:r w:rsidRPr="009A7095">
        <w:rPr>
          <w:rFonts w:eastAsiaTheme="majorEastAsia" w:cstheme="majorBidi"/>
          <w:bCs/>
          <w:color w:val="000000" w:themeColor="text1"/>
          <w:szCs w:val="24"/>
        </w:rPr>
        <w:t xml:space="preserve"> associated with notice to provider and others of acceptance of complaint; 91% of providers were notified that the Office had accepted a complaint within the 14 day legislated timeframe, below the target of 95%. </w:t>
      </w:r>
      <w:r w:rsidR="009A7095" w:rsidRPr="009A7095">
        <w:rPr>
          <w:rFonts w:eastAsiaTheme="majorEastAsia" w:cstheme="majorBidi"/>
          <w:bCs/>
          <w:color w:val="000000" w:themeColor="text1"/>
          <w:szCs w:val="24"/>
        </w:rPr>
        <w:t xml:space="preserve">This occurred due to administrative and process errors. Staff training measures have been put in place to ensure the process for complaint resolution as detailed in the </w:t>
      </w:r>
      <w:r w:rsidR="009A7095" w:rsidRPr="00B64041">
        <w:rPr>
          <w:rFonts w:eastAsiaTheme="majorEastAsia" w:cstheme="majorBidi"/>
          <w:bCs/>
          <w:i/>
          <w:color w:val="000000" w:themeColor="text1"/>
          <w:szCs w:val="24"/>
        </w:rPr>
        <w:t>Health and Disability Services (Complaints) Act 1995</w:t>
      </w:r>
      <w:r w:rsidR="009A7095" w:rsidRPr="009A7095">
        <w:rPr>
          <w:rFonts w:eastAsiaTheme="majorEastAsia" w:cstheme="majorBidi"/>
          <w:bCs/>
          <w:color w:val="000000" w:themeColor="text1"/>
          <w:szCs w:val="24"/>
        </w:rPr>
        <w:t xml:space="preserve"> and by internal policies and procedures is adhered to at all times.</w:t>
      </w:r>
    </w:p>
    <w:p w14:paraId="1C5904E0" w14:textId="77777777" w:rsidR="009A7095" w:rsidRPr="009A7095" w:rsidRDefault="009A7095" w:rsidP="009A7095">
      <w:pPr>
        <w:pStyle w:val="Normal-L3"/>
        <w:rPr>
          <w:rFonts w:eastAsiaTheme="majorEastAsia" w:cstheme="majorBidi"/>
          <w:bCs/>
          <w:color w:val="000000" w:themeColor="text1"/>
          <w:szCs w:val="24"/>
        </w:rPr>
      </w:pPr>
    </w:p>
    <w:p w14:paraId="2E0D17E9" w14:textId="06C45363" w:rsidR="00F70F07" w:rsidRDefault="00EC31A3" w:rsidP="00EC31A3">
      <w:pPr>
        <w:rPr>
          <w:b/>
        </w:rPr>
      </w:pPr>
      <w:r>
        <w:t>In addition, the Office did not meet the target associated with resolution of complaint by negotiated settlement where an extension of time was granted; 71% of complaints were resolved within the 112 day timeframe, below the target of 85%.</w:t>
      </w:r>
      <w:r w:rsidR="009A7095">
        <w:t xml:space="preserve"> This occurred for a number of complaints due to the complexity of the cases and the closure of aged cases. The internal timeframe will continue to be closely monitored.</w:t>
      </w:r>
    </w:p>
    <w:p w14:paraId="475B1272" w14:textId="77777777" w:rsidR="00F70F07" w:rsidRDefault="00F70F07" w:rsidP="00F70F07">
      <w:pPr>
        <w:pStyle w:val="Normal-L3"/>
        <w:spacing w:line="276" w:lineRule="auto"/>
        <w:rPr>
          <w:rFonts w:eastAsiaTheme="majorEastAsia" w:cstheme="majorBidi"/>
          <w:bCs/>
          <w:color w:val="000000" w:themeColor="text1"/>
          <w:szCs w:val="24"/>
        </w:rPr>
      </w:pPr>
    </w:p>
    <w:p w14:paraId="0BDF803A" w14:textId="77777777" w:rsidR="00F70F07" w:rsidRDefault="00F70F07" w:rsidP="00F70F07">
      <w:pPr>
        <w:pStyle w:val="Normal-L3"/>
        <w:spacing w:line="276" w:lineRule="auto"/>
        <w:rPr>
          <w:rFonts w:eastAsiaTheme="majorEastAsia" w:cstheme="majorBidi"/>
          <w:b/>
          <w:bCs/>
          <w:color w:val="000000" w:themeColor="text1"/>
          <w:szCs w:val="24"/>
        </w:rPr>
      </w:pPr>
      <w:r w:rsidRPr="001448A5">
        <w:rPr>
          <w:rFonts w:eastAsiaTheme="majorEastAsia" w:cstheme="majorBidi"/>
          <w:b/>
          <w:bCs/>
          <w:color w:val="000000" w:themeColor="text1"/>
          <w:szCs w:val="24"/>
        </w:rPr>
        <w:t>Table 1: Time</w:t>
      </w:r>
      <w:r>
        <w:rPr>
          <w:rFonts w:eastAsiaTheme="majorEastAsia" w:cstheme="majorBidi"/>
          <w:b/>
          <w:bCs/>
          <w:color w:val="000000" w:themeColor="text1"/>
          <w:szCs w:val="24"/>
        </w:rPr>
        <w:t xml:space="preserve"> to resolve complaints – legislated timeframes or performance targets</w:t>
      </w:r>
    </w:p>
    <w:tbl>
      <w:tblPr>
        <w:tblStyle w:val="TableGrid"/>
        <w:tblW w:w="0" w:type="auto"/>
        <w:tblInd w:w="69" w:type="dxa"/>
        <w:tblLook w:val="04A0" w:firstRow="1" w:lastRow="0" w:firstColumn="1" w:lastColumn="0" w:noHBand="0" w:noVBand="1"/>
      </w:tblPr>
      <w:tblGrid>
        <w:gridCol w:w="3640"/>
        <w:gridCol w:w="1817"/>
        <w:gridCol w:w="1727"/>
        <w:gridCol w:w="1727"/>
      </w:tblGrid>
      <w:tr w:rsidR="00F70F07" w:rsidRPr="00D3160E" w14:paraId="1B2E50CB" w14:textId="77777777" w:rsidTr="00746D3F">
        <w:trPr>
          <w:trHeight w:val="874"/>
        </w:trPr>
        <w:tc>
          <w:tcPr>
            <w:tcW w:w="3640" w:type="dxa"/>
            <w:shd w:val="clear" w:color="auto" w:fill="D9D9D9" w:themeFill="background1" w:themeFillShade="D9"/>
            <w:vAlign w:val="center"/>
          </w:tcPr>
          <w:p w14:paraId="1846D843" w14:textId="77777777" w:rsidR="00F70F07" w:rsidRPr="00154B4D" w:rsidRDefault="00F70F07" w:rsidP="00746D3F">
            <w:pPr>
              <w:pStyle w:val="Normal-L3"/>
              <w:jc w:val="center"/>
              <w:rPr>
                <w:rFonts w:eastAsiaTheme="majorEastAsia" w:cstheme="majorBidi"/>
                <w:b/>
                <w:bCs/>
                <w:color w:val="04425E"/>
                <w:szCs w:val="24"/>
              </w:rPr>
            </w:pPr>
            <w:r w:rsidRPr="00154B4D">
              <w:rPr>
                <w:rFonts w:eastAsiaTheme="majorEastAsia" w:cstheme="majorBidi"/>
                <w:b/>
                <w:bCs/>
                <w:color w:val="04425E"/>
                <w:szCs w:val="24"/>
              </w:rPr>
              <w:t>Legislative requirement</w:t>
            </w:r>
          </w:p>
        </w:tc>
        <w:tc>
          <w:tcPr>
            <w:tcW w:w="1817" w:type="dxa"/>
            <w:shd w:val="clear" w:color="auto" w:fill="D9D9D9" w:themeFill="background1" w:themeFillShade="D9"/>
            <w:vAlign w:val="center"/>
          </w:tcPr>
          <w:p w14:paraId="70E335BD" w14:textId="77777777" w:rsidR="00F70F07" w:rsidRPr="00154B4D" w:rsidRDefault="00F70F07" w:rsidP="00746D3F">
            <w:pPr>
              <w:pStyle w:val="Normal-L3"/>
              <w:jc w:val="center"/>
              <w:rPr>
                <w:rFonts w:eastAsiaTheme="majorEastAsia" w:cstheme="majorBidi"/>
                <w:b/>
                <w:bCs/>
                <w:color w:val="04425E"/>
                <w:szCs w:val="24"/>
              </w:rPr>
            </w:pPr>
            <w:r w:rsidRPr="00154B4D">
              <w:rPr>
                <w:rFonts w:eastAsiaTheme="majorEastAsia" w:cstheme="majorBidi"/>
                <w:b/>
                <w:bCs/>
                <w:color w:val="04425E"/>
                <w:szCs w:val="24"/>
              </w:rPr>
              <w:t>Legislative timeframe or performance target (days)</w:t>
            </w:r>
          </w:p>
        </w:tc>
        <w:tc>
          <w:tcPr>
            <w:tcW w:w="1727" w:type="dxa"/>
            <w:shd w:val="clear" w:color="auto" w:fill="D9D9D9" w:themeFill="background1" w:themeFillShade="D9"/>
            <w:vAlign w:val="center"/>
          </w:tcPr>
          <w:p w14:paraId="579184BA" w14:textId="77777777" w:rsidR="00F70F07" w:rsidRPr="00154B4D" w:rsidRDefault="00F70F07" w:rsidP="00746D3F">
            <w:pPr>
              <w:pStyle w:val="Normal-L3"/>
              <w:jc w:val="center"/>
              <w:rPr>
                <w:rFonts w:eastAsiaTheme="majorEastAsia" w:cstheme="majorBidi"/>
                <w:b/>
                <w:bCs/>
                <w:color w:val="04425E"/>
                <w:szCs w:val="24"/>
              </w:rPr>
            </w:pPr>
            <w:r w:rsidRPr="00154B4D">
              <w:rPr>
                <w:rFonts w:eastAsiaTheme="majorEastAsia" w:cstheme="majorBidi"/>
                <w:b/>
                <w:bCs/>
                <w:color w:val="04425E"/>
                <w:szCs w:val="24"/>
              </w:rPr>
              <w:t>201</w:t>
            </w:r>
            <w:r>
              <w:rPr>
                <w:rFonts w:eastAsiaTheme="majorEastAsia" w:cstheme="majorBidi"/>
                <w:b/>
                <w:bCs/>
                <w:color w:val="04425E"/>
                <w:szCs w:val="24"/>
              </w:rPr>
              <w:t>7-18</w:t>
            </w:r>
            <w:r w:rsidRPr="00154B4D">
              <w:rPr>
                <w:rFonts w:eastAsiaTheme="majorEastAsia" w:cstheme="majorBidi"/>
                <w:b/>
                <w:bCs/>
                <w:color w:val="04425E"/>
                <w:szCs w:val="24"/>
              </w:rPr>
              <w:t xml:space="preserve"> </w:t>
            </w:r>
          </w:p>
          <w:p w14:paraId="049DB129" w14:textId="77777777" w:rsidR="00F70F07" w:rsidRPr="00154B4D" w:rsidRDefault="00F70F07" w:rsidP="00746D3F">
            <w:pPr>
              <w:pStyle w:val="Normal-L3"/>
              <w:jc w:val="center"/>
              <w:rPr>
                <w:rFonts w:eastAsiaTheme="majorEastAsia" w:cstheme="majorBidi"/>
                <w:b/>
                <w:bCs/>
                <w:color w:val="04425E"/>
                <w:szCs w:val="24"/>
              </w:rPr>
            </w:pPr>
            <w:r w:rsidRPr="00154B4D">
              <w:rPr>
                <w:rFonts w:eastAsiaTheme="majorEastAsia" w:cstheme="majorBidi"/>
                <w:b/>
                <w:bCs/>
                <w:color w:val="04425E"/>
                <w:szCs w:val="24"/>
              </w:rPr>
              <w:t>Target</w:t>
            </w:r>
          </w:p>
        </w:tc>
        <w:tc>
          <w:tcPr>
            <w:tcW w:w="1727" w:type="dxa"/>
            <w:shd w:val="clear" w:color="auto" w:fill="D9D9D9" w:themeFill="background1" w:themeFillShade="D9"/>
            <w:vAlign w:val="center"/>
          </w:tcPr>
          <w:p w14:paraId="30A2205A" w14:textId="77777777" w:rsidR="00F70F07" w:rsidRPr="00154B4D" w:rsidRDefault="00F70F07" w:rsidP="00746D3F">
            <w:pPr>
              <w:pStyle w:val="Normal-L3"/>
              <w:jc w:val="center"/>
              <w:rPr>
                <w:rFonts w:eastAsiaTheme="majorEastAsia" w:cstheme="majorBidi"/>
                <w:b/>
                <w:bCs/>
                <w:color w:val="04425E"/>
                <w:szCs w:val="24"/>
              </w:rPr>
            </w:pPr>
            <w:r>
              <w:rPr>
                <w:rFonts w:eastAsiaTheme="majorEastAsia" w:cstheme="majorBidi"/>
                <w:b/>
                <w:bCs/>
                <w:color w:val="04425E"/>
                <w:szCs w:val="24"/>
              </w:rPr>
              <w:t>2017-18</w:t>
            </w:r>
            <w:r w:rsidRPr="00154B4D">
              <w:rPr>
                <w:rFonts w:eastAsiaTheme="majorEastAsia" w:cstheme="majorBidi"/>
                <w:b/>
                <w:bCs/>
                <w:color w:val="04425E"/>
                <w:szCs w:val="24"/>
              </w:rPr>
              <w:t xml:space="preserve"> </w:t>
            </w:r>
          </w:p>
          <w:p w14:paraId="56BFE7D9" w14:textId="77777777" w:rsidR="00F70F07" w:rsidRPr="00154B4D" w:rsidRDefault="00F70F07" w:rsidP="00746D3F">
            <w:pPr>
              <w:pStyle w:val="Normal-L3"/>
              <w:jc w:val="center"/>
              <w:rPr>
                <w:rFonts w:eastAsiaTheme="majorEastAsia" w:cstheme="majorBidi"/>
                <w:b/>
                <w:bCs/>
                <w:color w:val="04425E"/>
                <w:szCs w:val="24"/>
              </w:rPr>
            </w:pPr>
            <w:r w:rsidRPr="00154B4D">
              <w:rPr>
                <w:rFonts w:eastAsiaTheme="majorEastAsia" w:cstheme="majorBidi"/>
                <w:b/>
                <w:bCs/>
                <w:color w:val="04425E"/>
                <w:szCs w:val="24"/>
              </w:rPr>
              <w:t>Actual</w:t>
            </w:r>
          </w:p>
        </w:tc>
      </w:tr>
      <w:tr w:rsidR="00F70F07" w:rsidRPr="00D3160E" w14:paraId="222B4D5A" w14:textId="77777777" w:rsidTr="00746D3F">
        <w:trPr>
          <w:trHeight w:val="650"/>
        </w:trPr>
        <w:tc>
          <w:tcPr>
            <w:tcW w:w="3640" w:type="dxa"/>
            <w:shd w:val="clear" w:color="auto" w:fill="FFFFFF" w:themeFill="background1"/>
            <w:vAlign w:val="center"/>
          </w:tcPr>
          <w:p w14:paraId="5ADE30DE" w14:textId="77777777" w:rsidR="00F70F07" w:rsidRPr="00FB3CF0" w:rsidRDefault="00F70F07" w:rsidP="00746D3F">
            <w:r w:rsidRPr="00FB3CF0">
              <w:t>Preliminary assessment of complaint</w:t>
            </w:r>
          </w:p>
        </w:tc>
        <w:tc>
          <w:tcPr>
            <w:tcW w:w="1817" w:type="dxa"/>
            <w:vAlign w:val="center"/>
          </w:tcPr>
          <w:p w14:paraId="1905AC89"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28</w:t>
            </w:r>
          </w:p>
        </w:tc>
        <w:tc>
          <w:tcPr>
            <w:tcW w:w="1727" w:type="dxa"/>
            <w:vAlign w:val="center"/>
          </w:tcPr>
          <w:p w14:paraId="09B8CF3A"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95%</w:t>
            </w:r>
          </w:p>
        </w:tc>
        <w:tc>
          <w:tcPr>
            <w:tcW w:w="1727" w:type="dxa"/>
            <w:vAlign w:val="center"/>
          </w:tcPr>
          <w:p w14:paraId="11F2942D"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9</w:t>
            </w:r>
            <w:r>
              <w:rPr>
                <w:rFonts w:eastAsiaTheme="majorEastAsia" w:cstheme="majorBidi"/>
                <w:bCs/>
                <w:color w:val="000000" w:themeColor="text1"/>
                <w:szCs w:val="24"/>
              </w:rPr>
              <w:t>5</w:t>
            </w:r>
            <w:r w:rsidRPr="00FB3CF0">
              <w:rPr>
                <w:rFonts w:eastAsiaTheme="majorEastAsia" w:cstheme="majorBidi"/>
                <w:bCs/>
                <w:color w:val="000000" w:themeColor="text1"/>
                <w:szCs w:val="24"/>
              </w:rPr>
              <w:t>%</w:t>
            </w:r>
          </w:p>
        </w:tc>
      </w:tr>
      <w:tr w:rsidR="00F70F07" w:rsidRPr="00D3160E" w14:paraId="1F0237DC" w14:textId="77777777" w:rsidTr="00746D3F">
        <w:trPr>
          <w:trHeight w:val="672"/>
        </w:trPr>
        <w:tc>
          <w:tcPr>
            <w:tcW w:w="3640" w:type="dxa"/>
            <w:shd w:val="clear" w:color="auto" w:fill="FFFFFF" w:themeFill="background1"/>
            <w:vAlign w:val="center"/>
          </w:tcPr>
          <w:p w14:paraId="724348B7" w14:textId="77777777" w:rsidR="00F70F07" w:rsidRPr="00FB3CF0" w:rsidRDefault="00F70F07" w:rsidP="00746D3F">
            <w:r w:rsidRPr="00FB3CF0">
              <w:t>Preliminary assessment of complaint (with extension)</w:t>
            </w:r>
          </w:p>
        </w:tc>
        <w:tc>
          <w:tcPr>
            <w:tcW w:w="1817" w:type="dxa"/>
            <w:vAlign w:val="center"/>
          </w:tcPr>
          <w:p w14:paraId="1A497836"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56</w:t>
            </w:r>
          </w:p>
        </w:tc>
        <w:tc>
          <w:tcPr>
            <w:tcW w:w="1727" w:type="dxa"/>
            <w:vAlign w:val="center"/>
          </w:tcPr>
          <w:p w14:paraId="0F958078"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90%</w:t>
            </w:r>
          </w:p>
        </w:tc>
        <w:tc>
          <w:tcPr>
            <w:tcW w:w="1727" w:type="dxa"/>
            <w:vAlign w:val="center"/>
          </w:tcPr>
          <w:p w14:paraId="756E2EB1"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92%</w:t>
            </w:r>
          </w:p>
        </w:tc>
      </w:tr>
      <w:tr w:rsidR="00F70F07" w:rsidRPr="00D3160E" w14:paraId="1567579A" w14:textId="77777777" w:rsidTr="00746D3F">
        <w:trPr>
          <w:trHeight w:val="650"/>
        </w:trPr>
        <w:tc>
          <w:tcPr>
            <w:tcW w:w="3640" w:type="dxa"/>
            <w:shd w:val="clear" w:color="auto" w:fill="FFFFFF" w:themeFill="background1"/>
            <w:vAlign w:val="center"/>
          </w:tcPr>
          <w:p w14:paraId="3325BAA1" w14:textId="77777777" w:rsidR="00F70F07" w:rsidRPr="00FB3CF0" w:rsidRDefault="00F70F07" w:rsidP="00746D3F">
            <w:r w:rsidRPr="00FB3CF0">
              <w:t>Notice to provider and others of acceptance of complaint</w:t>
            </w:r>
          </w:p>
        </w:tc>
        <w:tc>
          <w:tcPr>
            <w:tcW w:w="1817" w:type="dxa"/>
            <w:vAlign w:val="center"/>
          </w:tcPr>
          <w:p w14:paraId="497585CF"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14</w:t>
            </w:r>
          </w:p>
        </w:tc>
        <w:tc>
          <w:tcPr>
            <w:tcW w:w="1727" w:type="dxa"/>
            <w:vAlign w:val="center"/>
          </w:tcPr>
          <w:p w14:paraId="3C9B2F70"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95%</w:t>
            </w:r>
          </w:p>
        </w:tc>
        <w:tc>
          <w:tcPr>
            <w:tcW w:w="1727" w:type="dxa"/>
            <w:vAlign w:val="center"/>
          </w:tcPr>
          <w:p w14:paraId="2877C257"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Pr>
                <w:rFonts w:eastAsiaTheme="majorEastAsia" w:cstheme="majorBidi"/>
                <w:bCs/>
                <w:color w:val="000000" w:themeColor="text1"/>
                <w:szCs w:val="24"/>
              </w:rPr>
              <w:t>91</w:t>
            </w:r>
            <w:r w:rsidRPr="00FB3CF0">
              <w:rPr>
                <w:rFonts w:eastAsiaTheme="majorEastAsia" w:cstheme="majorBidi"/>
                <w:bCs/>
                <w:color w:val="000000" w:themeColor="text1"/>
                <w:szCs w:val="24"/>
              </w:rPr>
              <w:t>%</w:t>
            </w:r>
          </w:p>
        </w:tc>
      </w:tr>
      <w:tr w:rsidR="00F70F07" w:rsidRPr="00D3160E" w14:paraId="7D00CCD7" w14:textId="77777777" w:rsidTr="00746D3F">
        <w:trPr>
          <w:trHeight w:val="650"/>
        </w:trPr>
        <w:tc>
          <w:tcPr>
            <w:tcW w:w="3640" w:type="dxa"/>
            <w:shd w:val="clear" w:color="auto" w:fill="FFFFFF" w:themeFill="background1"/>
            <w:vAlign w:val="center"/>
          </w:tcPr>
          <w:p w14:paraId="38987A2D" w14:textId="77777777" w:rsidR="00F70F07" w:rsidRPr="00FB3CF0" w:rsidRDefault="00F70F07" w:rsidP="00746D3F">
            <w:r w:rsidRPr="00FB3CF0">
              <w:t>Resolution of complaint in Negotiated Settlement</w:t>
            </w:r>
          </w:p>
        </w:tc>
        <w:tc>
          <w:tcPr>
            <w:tcW w:w="1817" w:type="dxa"/>
            <w:vAlign w:val="center"/>
          </w:tcPr>
          <w:p w14:paraId="4C93D1E9"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56</w:t>
            </w:r>
          </w:p>
        </w:tc>
        <w:tc>
          <w:tcPr>
            <w:tcW w:w="1727" w:type="dxa"/>
            <w:vAlign w:val="center"/>
          </w:tcPr>
          <w:p w14:paraId="5DE8AF02"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80%</w:t>
            </w:r>
          </w:p>
        </w:tc>
        <w:tc>
          <w:tcPr>
            <w:tcW w:w="1727" w:type="dxa"/>
            <w:vAlign w:val="center"/>
          </w:tcPr>
          <w:p w14:paraId="428ED7FD"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Pr>
                <w:rFonts w:eastAsiaTheme="majorEastAsia" w:cstheme="majorBidi"/>
                <w:bCs/>
                <w:color w:val="000000" w:themeColor="text1"/>
                <w:szCs w:val="24"/>
              </w:rPr>
              <w:t>86</w:t>
            </w:r>
            <w:r w:rsidRPr="00FB3CF0">
              <w:rPr>
                <w:rFonts w:eastAsiaTheme="majorEastAsia" w:cstheme="majorBidi"/>
                <w:bCs/>
                <w:color w:val="000000" w:themeColor="text1"/>
                <w:szCs w:val="24"/>
              </w:rPr>
              <w:t>%</w:t>
            </w:r>
          </w:p>
        </w:tc>
      </w:tr>
      <w:tr w:rsidR="00F70F07" w:rsidRPr="00D3160E" w14:paraId="6DE91B64" w14:textId="77777777" w:rsidTr="00746D3F">
        <w:trPr>
          <w:trHeight w:val="1019"/>
        </w:trPr>
        <w:tc>
          <w:tcPr>
            <w:tcW w:w="3640" w:type="dxa"/>
            <w:shd w:val="clear" w:color="auto" w:fill="FFFFFF" w:themeFill="background1"/>
            <w:vAlign w:val="center"/>
          </w:tcPr>
          <w:p w14:paraId="22BF3C55" w14:textId="77777777" w:rsidR="00F70F07" w:rsidRPr="00FB3CF0" w:rsidRDefault="00F70F07" w:rsidP="00746D3F">
            <w:r w:rsidRPr="00FB3CF0">
              <w:t xml:space="preserve">Resolution of complaint in Negotiated Settlement </w:t>
            </w:r>
          </w:p>
          <w:p w14:paraId="1D7A55D5" w14:textId="77777777" w:rsidR="00F70F07" w:rsidRPr="00FB3CF0" w:rsidRDefault="00F70F07" w:rsidP="00746D3F">
            <w:r w:rsidRPr="00FB3CF0">
              <w:t>(with extension)</w:t>
            </w:r>
          </w:p>
        </w:tc>
        <w:tc>
          <w:tcPr>
            <w:tcW w:w="1817" w:type="dxa"/>
            <w:vAlign w:val="center"/>
          </w:tcPr>
          <w:p w14:paraId="793B94C2"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112</w:t>
            </w:r>
          </w:p>
        </w:tc>
        <w:tc>
          <w:tcPr>
            <w:tcW w:w="1727" w:type="dxa"/>
            <w:vAlign w:val="center"/>
          </w:tcPr>
          <w:p w14:paraId="7DC6C225"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sidRPr="00FB3CF0">
              <w:rPr>
                <w:rFonts w:eastAsiaTheme="majorEastAsia" w:cstheme="majorBidi"/>
                <w:bCs/>
                <w:color w:val="000000" w:themeColor="text1"/>
                <w:szCs w:val="24"/>
              </w:rPr>
              <w:t>85%</w:t>
            </w:r>
          </w:p>
        </w:tc>
        <w:tc>
          <w:tcPr>
            <w:tcW w:w="1727" w:type="dxa"/>
            <w:vAlign w:val="center"/>
          </w:tcPr>
          <w:p w14:paraId="4D130664" w14:textId="77777777" w:rsidR="00F70F07" w:rsidRPr="00FB3CF0" w:rsidRDefault="00F70F07" w:rsidP="00746D3F">
            <w:pPr>
              <w:pStyle w:val="Normal-L3"/>
              <w:spacing w:line="276" w:lineRule="auto"/>
              <w:jc w:val="center"/>
              <w:rPr>
                <w:rFonts w:eastAsiaTheme="majorEastAsia" w:cstheme="majorBidi"/>
                <w:bCs/>
                <w:color w:val="000000" w:themeColor="text1"/>
                <w:szCs w:val="24"/>
              </w:rPr>
            </w:pPr>
            <w:r>
              <w:rPr>
                <w:rFonts w:eastAsiaTheme="majorEastAsia" w:cstheme="majorBidi"/>
                <w:bCs/>
                <w:color w:val="000000" w:themeColor="text1"/>
                <w:szCs w:val="24"/>
              </w:rPr>
              <w:t>71</w:t>
            </w:r>
            <w:r w:rsidRPr="00FB3CF0">
              <w:rPr>
                <w:rFonts w:eastAsiaTheme="majorEastAsia" w:cstheme="majorBidi"/>
                <w:bCs/>
                <w:color w:val="000000" w:themeColor="text1"/>
                <w:szCs w:val="24"/>
              </w:rPr>
              <w:t>%</w:t>
            </w:r>
          </w:p>
        </w:tc>
      </w:tr>
    </w:tbl>
    <w:p w14:paraId="22CCCF34" w14:textId="77777777" w:rsidR="00F70F07" w:rsidRPr="000808C8" w:rsidRDefault="00F70F07" w:rsidP="00F70F07">
      <w:pPr>
        <w:pStyle w:val="Normal-L3"/>
        <w:rPr>
          <w:rFonts w:eastAsiaTheme="majorEastAsia" w:cstheme="majorBidi"/>
          <w:bCs/>
          <w:color w:val="000000" w:themeColor="text1"/>
          <w:szCs w:val="24"/>
        </w:rPr>
      </w:pPr>
    </w:p>
    <w:p w14:paraId="2635CBBE" w14:textId="77777777" w:rsidR="00F70F07" w:rsidRDefault="00F70F07" w:rsidP="00F70F07">
      <w:pPr>
        <w:rPr>
          <w:b/>
        </w:rPr>
      </w:pPr>
      <w:bookmarkStart w:id="12" w:name="_Toc459621636"/>
    </w:p>
    <w:p w14:paraId="78D6074B" w14:textId="77777777" w:rsidR="00F70F07" w:rsidRDefault="00F70F07" w:rsidP="00F70F07">
      <w:pPr>
        <w:rPr>
          <w:b/>
        </w:rPr>
      </w:pPr>
    </w:p>
    <w:p w14:paraId="121899FD" w14:textId="77777777" w:rsidR="00F70F07" w:rsidRDefault="00F70F07" w:rsidP="00F70F07">
      <w:pPr>
        <w:rPr>
          <w:b/>
        </w:rPr>
      </w:pPr>
    </w:p>
    <w:p w14:paraId="0742586C" w14:textId="77777777" w:rsidR="00F70F07" w:rsidRDefault="00F70F07" w:rsidP="00F70F07">
      <w:pPr>
        <w:spacing w:after="200" w:line="276" w:lineRule="auto"/>
        <w:rPr>
          <w:rFonts w:eastAsiaTheme="majorEastAsia" w:cstheme="majorBidi"/>
          <w:b/>
          <w:bCs/>
          <w:iCs/>
        </w:rPr>
      </w:pPr>
      <w:r>
        <w:rPr>
          <w:rFonts w:eastAsiaTheme="majorEastAsia" w:cstheme="majorBidi"/>
          <w:b/>
          <w:bCs/>
          <w:iCs/>
        </w:rPr>
        <w:br w:type="page"/>
      </w:r>
    </w:p>
    <w:p w14:paraId="44B40756" w14:textId="77777777" w:rsidR="00F70F07" w:rsidRPr="004A0004" w:rsidRDefault="00F70F07" w:rsidP="00F70F07">
      <w:pPr>
        <w:rPr>
          <w:rFonts w:eastAsiaTheme="majorEastAsia" w:cstheme="majorBidi"/>
          <w:b/>
          <w:bCs/>
          <w:iCs/>
        </w:rPr>
      </w:pPr>
      <w:bookmarkStart w:id="13" w:name="_Toc459621637"/>
      <w:bookmarkStart w:id="14" w:name="_Toc459621640"/>
      <w:r w:rsidRPr="00917FE9">
        <w:rPr>
          <w:rFonts w:eastAsiaTheme="majorEastAsia" w:cstheme="majorBidi"/>
          <w:b/>
          <w:bCs/>
          <w:iCs/>
        </w:rPr>
        <w:lastRenderedPageBreak/>
        <w:t>Consultation with AHPRA about complaints</w:t>
      </w:r>
      <w:bookmarkEnd w:id="13"/>
      <w:r w:rsidRPr="004A0004">
        <w:rPr>
          <w:rFonts w:eastAsiaTheme="majorEastAsia" w:cstheme="majorBidi"/>
          <w:b/>
          <w:bCs/>
          <w:iCs/>
        </w:rPr>
        <w:t xml:space="preserve"> </w:t>
      </w:r>
    </w:p>
    <w:p w14:paraId="498A5797" w14:textId="77777777" w:rsidR="00F70F07" w:rsidRPr="0022487A" w:rsidRDefault="00F70F07" w:rsidP="00F70F07"/>
    <w:p w14:paraId="65DE1F54" w14:textId="317712BD" w:rsidR="00EC31A3" w:rsidRDefault="00EC31A3" w:rsidP="00EC31A3">
      <w:r w:rsidRPr="00E40CE6">
        <w:t xml:space="preserve">In accordance with the </w:t>
      </w:r>
      <w:r w:rsidRPr="00EB1D0B">
        <w:rPr>
          <w:i/>
        </w:rPr>
        <w:t>Health Practitioner Regulation National Law (WA) Act 2010</w:t>
      </w:r>
      <w:r w:rsidRPr="00E40CE6">
        <w:t>, HaDSCO</w:t>
      </w:r>
      <w:r>
        <w:t>, as Western Australia’s Health Complaints Entity,</w:t>
      </w:r>
      <w:r w:rsidRPr="00E40CE6">
        <w:t xml:space="preserve"> is required to</w:t>
      </w:r>
      <w:r>
        <w:t xml:space="preserve"> </w:t>
      </w:r>
      <w:r w:rsidR="0023062E">
        <w:t>consult with</w:t>
      </w:r>
      <w:r w:rsidRPr="00E40CE6">
        <w:t xml:space="preserve"> the Australian Health Practitioner Regulation Agency (AHPRA) about complaints </w:t>
      </w:r>
      <w:r>
        <w:t>that relate</w:t>
      </w:r>
      <w:r w:rsidRPr="00E40CE6">
        <w:t xml:space="preserve"> to registered health professionals</w:t>
      </w:r>
      <w:r>
        <w:t xml:space="preserve"> to determine which agency is </w:t>
      </w:r>
      <w:r w:rsidR="00F41A5B">
        <w:t>more appropriate</w:t>
      </w:r>
      <w:r>
        <w:t xml:space="preserve"> to manage the complaint.</w:t>
      </w:r>
      <w:r w:rsidR="0007367E">
        <w:t xml:space="preserve"> The AHPRA </w:t>
      </w:r>
      <w:r w:rsidR="0007367E" w:rsidRPr="0007367E">
        <w:t>register</w:t>
      </w:r>
      <w:r w:rsidR="0007367E">
        <w:t xml:space="preserve"> </w:t>
      </w:r>
      <w:r w:rsidR="0007367E" w:rsidRPr="0007367E">
        <w:t>of national boards and professionals</w:t>
      </w:r>
      <w:r w:rsidR="0007367E">
        <w:t xml:space="preserve"> can be found at Appendix 5.1.</w:t>
      </w:r>
    </w:p>
    <w:p w14:paraId="1564B9CD" w14:textId="77777777" w:rsidR="00EC31A3" w:rsidRDefault="00EC31A3" w:rsidP="00EC31A3"/>
    <w:p w14:paraId="5E34E5FB" w14:textId="5438B09C" w:rsidR="00F70F07" w:rsidRDefault="00EC31A3" w:rsidP="00EC31A3">
      <w:pPr>
        <w:rPr>
          <w:lang w:val="en-US"/>
        </w:rPr>
      </w:pPr>
      <w:r>
        <w:rPr>
          <w:lang w:val="en-US"/>
        </w:rPr>
        <w:t>In 2017-18,</w:t>
      </w:r>
      <w:r w:rsidRPr="001C2839">
        <w:rPr>
          <w:lang w:val="en-US"/>
        </w:rPr>
        <w:t xml:space="preserve"> H</w:t>
      </w:r>
      <w:r>
        <w:rPr>
          <w:lang w:val="en-US"/>
        </w:rPr>
        <w:t>aDSCO brought forward 139 complaints to discuss with AHPRA staff, while AHPRA brought forward 184 complaints to discuss with HaDSCO staff.  After reviewing the complaint files, a decision was reached as to which agency would retain the complaint and seek resolution, or agreement was reached to split a complaint and have both HaDSCO and AHPRA resolve different aspects, or issues, of the complaint. The number of complaints retained by each agency is detailed in Figure 5.</w:t>
      </w:r>
    </w:p>
    <w:p w14:paraId="2E67C03A" w14:textId="77777777" w:rsidR="00F70F07" w:rsidRDefault="00F70F07" w:rsidP="00F70F07">
      <w:pPr>
        <w:rPr>
          <w:lang w:val="en-US"/>
        </w:rPr>
      </w:pPr>
    </w:p>
    <w:bookmarkEnd w:id="14"/>
    <w:p w14:paraId="688F6B23" w14:textId="77777777" w:rsidR="00EC31A3" w:rsidRDefault="00EC31A3" w:rsidP="00EC31A3">
      <w:pPr>
        <w:pStyle w:val="Normal-L3"/>
        <w:spacing w:line="276" w:lineRule="auto"/>
        <w:jc w:val="both"/>
        <w:rPr>
          <w:rFonts w:eastAsiaTheme="majorEastAsia" w:cstheme="majorBidi"/>
          <w:b/>
          <w:bCs/>
          <w:color w:val="000000" w:themeColor="text1"/>
          <w:szCs w:val="24"/>
        </w:rPr>
      </w:pPr>
      <w:r w:rsidRPr="00C51646">
        <w:rPr>
          <w:rFonts w:eastAsiaTheme="majorEastAsia" w:cstheme="majorBidi"/>
          <w:b/>
          <w:bCs/>
          <w:color w:val="000000" w:themeColor="text1"/>
          <w:szCs w:val="24"/>
        </w:rPr>
        <w:t xml:space="preserve">Figure </w:t>
      </w:r>
      <w:r>
        <w:rPr>
          <w:rFonts w:eastAsiaTheme="majorEastAsia" w:cstheme="majorBidi"/>
          <w:b/>
          <w:bCs/>
          <w:color w:val="000000" w:themeColor="text1"/>
          <w:szCs w:val="24"/>
        </w:rPr>
        <w:t>5</w:t>
      </w:r>
      <w:r w:rsidRPr="00C51646">
        <w:rPr>
          <w:rFonts w:eastAsiaTheme="majorEastAsia" w:cstheme="majorBidi"/>
          <w:b/>
          <w:bCs/>
          <w:color w:val="000000" w:themeColor="text1"/>
          <w:szCs w:val="24"/>
        </w:rPr>
        <w:t>:</w:t>
      </w:r>
      <w:r w:rsidRPr="00467EC0">
        <w:rPr>
          <w:rFonts w:eastAsiaTheme="majorEastAsia" w:cstheme="majorBidi"/>
          <w:b/>
          <w:bCs/>
          <w:color w:val="000000" w:themeColor="text1"/>
          <w:szCs w:val="24"/>
        </w:rPr>
        <w:t xml:space="preserve"> </w:t>
      </w:r>
      <w:r>
        <w:rPr>
          <w:rFonts w:eastAsiaTheme="majorEastAsia" w:cstheme="majorBidi"/>
          <w:b/>
          <w:bCs/>
          <w:color w:val="000000" w:themeColor="text1"/>
          <w:szCs w:val="24"/>
        </w:rPr>
        <w:t xml:space="preserve">Agency responsible for complaint resolution </w:t>
      </w:r>
    </w:p>
    <w:p w14:paraId="610E0AE2" w14:textId="77777777" w:rsidR="00EC31A3" w:rsidRDefault="00EC31A3" w:rsidP="00EC31A3">
      <w:r>
        <w:rPr>
          <w:noProof/>
          <w:lang w:eastAsia="en-AU"/>
        </w:rPr>
        <w:drawing>
          <wp:inline distT="0" distB="0" distL="0" distR="0" wp14:anchorId="75787927" wp14:editId="29CCD5C4">
            <wp:extent cx="5832000" cy="2484000"/>
            <wp:effectExtent l="0" t="0" r="16510" b="1206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2C472E4" w14:textId="77777777" w:rsidR="00EC31A3" w:rsidRDefault="00EC31A3" w:rsidP="00EC31A3">
      <w:pPr>
        <w:rPr>
          <w:i/>
          <w:sz w:val="16"/>
          <w:szCs w:val="16"/>
        </w:rPr>
      </w:pPr>
    </w:p>
    <w:p w14:paraId="6DD384A2" w14:textId="77777777" w:rsidR="00910029" w:rsidRDefault="00910029" w:rsidP="00F70F07">
      <w:pPr>
        <w:rPr>
          <w:b/>
        </w:rPr>
        <w:sectPr w:rsidR="00910029" w:rsidSect="0041542C">
          <w:type w:val="continuous"/>
          <w:pgSz w:w="11907" w:h="16840" w:code="9"/>
          <w:pgMar w:top="1134" w:right="1440" w:bottom="1440" w:left="1440" w:header="720" w:footer="709" w:gutter="0"/>
          <w:cols w:space="720"/>
          <w:titlePg/>
          <w:docGrid w:linePitch="326"/>
        </w:sectPr>
      </w:pPr>
    </w:p>
    <w:p w14:paraId="283EA1C9" w14:textId="7D741349" w:rsidR="00F70F07" w:rsidRDefault="00910029" w:rsidP="00F70F07">
      <w:pPr>
        <w:rPr>
          <w:b/>
        </w:rPr>
      </w:pPr>
      <w:r w:rsidRPr="00910029">
        <w:rPr>
          <w:b/>
          <w:noProof/>
          <w:lang w:eastAsia="en-AU"/>
        </w:rPr>
        <w:lastRenderedPageBreak/>
        <mc:AlternateContent>
          <mc:Choice Requires="wps">
            <w:drawing>
              <wp:anchor distT="0" distB="0" distL="114300" distR="114300" simplePos="0" relativeHeight="252759040" behindDoc="1" locked="0" layoutInCell="1" allowOverlap="1" wp14:anchorId="6EEB4460" wp14:editId="62DB05E3">
                <wp:simplePos x="0" y="0"/>
                <wp:positionH relativeFrom="margin">
                  <wp:posOffset>-165734</wp:posOffset>
                </wp:positionH>
                <wp:positionV relativeFrom="paragraph">
                  <wp:posOffset>124088</wp:posOffset>
                </wp:positionV>
                <wp:extent cx="5959366" cy="3216165"/>
                <wp:effectExtent l="0" t="0" r="22860" b="22860"/>
                <wp:wrapNone/>
                <wp:docPr id="324" name="Rectangle 324"/>
                <wp:cNvGraphicFramePr/>
                <a:graphic xmlns:a="http://schemas.openxmlformats.org/drawingml/2006/main">
                  <a:graphicData uri="http://schemas.microsoft.com/office/word/2010/wordprocessingShape">
                    <wps:wsp>
                      <wps:cNvSpPr/>
                      <wps:spPr>
                        <a:xfrm>
                          <a:off x="0" y="0"/>
                          <a:ext cx="5959366" cy="3216165"/>
                        </a:xfrm>
                        <a:prstGeom prst="rect">
                          <a:avLst/>
                        </a:prstGeom>
                        <a:solidFill>
                          <a:schemeClr val="bg1">
                            <a:lumMod val="75000"/>
                            <a:alpha val="40000"/>
                          </a:schemeClr>
                        </a:solidFill>
                        <a:ln w="254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4" o:spid="_x0000_s1026" style="position:absolute;margin-left:-13.05pt;margin-top:9.75pt;width:469.25pt;height:253.25pt;z-index:-250557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" fillcolor="#bfbfbf [2412]" strokecolor="#002060" strokeweight="2pt">
                <v:fill opacity="26214f"/>
                <w10:wrap anchorx="margin"/>
              </v:rect>
            </w:pict>
          </mc:Fallback>
        </mc:AlternateContent>
      </w:r>
    </w:p>
    <w:p w14:paraId="3712D529" w14:textId="3F7A189E" w:rsidR="00910029" w:rsidRDefault="00910029" w:rsidP="00F70F07">
      <w:pPr>
        <w:rPr>
          <w:b/>
        </w:rPr>
      </w:pPr>
      <w:r w:rsidRPr="00910029">
        <w:rPr>
          <w:b/>
          <w:noProof/>
          <w:lang w:eastAsia="en-AU"/>
        </w:rPr>
        <w:drawing>
          <wp:anchor distT="0" distB="0" distL="114300" distR="114300" simplePos="0" relativeHeight="252760064" behindDoc="0" locked="0" layoutInCell="1" allowOverlap="1" wp14:anchorId="047F5B9C" wp14:editId="4A0F4049">
            <wp:simplePos x="0" y="0"/>
            <wp:positionH relativeFrom="margin">
              <wp:posOffset>120650</wp:posOffset>
            </wp:positionH>
            <wp:positionV relativeFrom="paragraph">
              <wp:posOffset>53340</wp:posOffset>
            </wp:positionV>
            <wp:extent cx="638810" cy="638810"/>
            <wp:effectExtent l="0" t="0" r="8890" b="8890"/>
            <wp:wrapNone/>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8810" cy="638810"/>
                    </a:xfrm>
                    <a:prstGeom prst="rect">
                      <a:avLst/>
                    </a:prstGeom>
                  </pic:spPr>
                </pic:pic>
              </a:graphicData>
            </a:graphic>
            <wp14:sizeRelH relativeFrom="page">
              <wp14:pctWidth>0</wp14:pctWidth>
            </wp14:sizeRelH>
            <wp14:sizeRelV relativeFrom="page">
              <wp14:pctHeight>0</wp14:pctHeight>
            </wp14:sizeRelV>
          </wp:anchor>
        </w:drawing>
      </w:r>
    </w:p>
    <w:p w14:paraId="33F6AE36" w14:textId="42CCA245" w:rsidR="00910029" w:rsidRDefault="00910029" w:rsidP="00910029">
      <w:pPr>
        <w:spacing w:after="720"/>
        <w:ind w:firstLine="1276"/>
        <w:jc w:val="both"/>
        <w:rPr>
          <w:b/>
        </w:rPr>
      </w:pPr>
      <w:r>
        <w:rPr>
          <w:b/>
        </w:rPr>
        <w:t>CASE STUDY</w:t>
      </w:r>
    </w:p>
    <w:p w14:paraId="4ACFA33C" w14:textId="77777777" w:rsidR="00910029" w:rsidRPr="000222EE" w:rsidRDefault="00910029" w:rsidP="00910029">
      <w:pPr>
        <w:rPr>
          <w:i/>
        </w:rPr>
      </w:pPr>
      <w:r w:rsidRPr="000222EE">
        <w:rPr>
          <w:b/>
          <w:i/>
        </w:rPr>
        <w:t>Redress for inadequate clinical assessment</w:t>
      </w:r>
      <w:r w:rsidRPr="000222EE">
        <w:rPr>
          <w:i/>
        </w:rPr>
        <w:t xml:space="preserve"> </w:t>
      </w:r>
    </w:p>
    <w:p w14:paraId="1AB61D1A" w14:textId="3FE8DAC1" w:rsidR="00910029" w:rsidRDefault="00910029" w:rsidP="00910029">
      <w:pPr>
        <w:spacing w:before="120"/>
      </w:pPr>
      <w:r>
        <w:t xml:space="preserve">An individual presented to a medical practitioner for assessment of redness and soreness in their eye. The practitioner undertook a clinical assessment but did not use a dye to examine the eye. Eye drops were prescribed and when the condition did not improve, the consumer consulted with another practitioner who identified a piece of steel in the </w:t>
      </w:r>
      <w:r>
        <w:br/>
      </w:r>
      <w:r>
        <w:lastRenderedPageBreak/>
        <w:br/>
      </w:r>
      <w:r>
        <w:br/>
        <w:t xml:space="preserve">individual’s eye. The individual lodged a notification with the Australian Health Practitioner Regulation Agency (AHPRA) regarding the practitioner’s failure to use the dye to properly examine the eye. As the individual indicated that </w:t>
      </w:r>
      <w:r w:rsidR="0023062E">
        <w:t>t</w:t>
      </w:r>
      <w:r>
        <w:t>he</w:t>
      </w:r>
      <w:r w:rsidR="0023062E">
        <w:t>y</w:t>
      </w:r>
      <w:r>
        <w:t xml:space="preserve"> sought a financial outcome, the matter was referred to HaDSCO for resolution. </w:t>
      </w:r>
    </w:p>
    <w:p w14:paraId="72FDB237" w14:textId="5A2E7FA6" w:rsidR="00910029" w:rsidRPr="00910029" w:rsidRDefault="00910029" w:rsidP="00910029">
      <w:pPr>
        <w:spacing w:before="120"/>
      </w:pPr>
      <w:r>
        <w:t xml:space="preserve">HaDSCO worked with the practitioner’s insurer to negotiate a suitable outcome. A </w:t>
      </w:r>
      <w:r w:rsidR="00B64041">
        <w:t xml:space="preserve">financial </w:t>
      </w:r>
      <w:r>
        <w:t>goodwill gesture was offered and a mutually agreeable resolution was achieved.</w:t>
      </w:r>
    </w:p>
    <w:p w14:paraId="5CF878DF" w14:textId="77777777" w:rsidR="00910029" w:rsidRDefault="00910029" w:rsidP="00F70F07">
      <w:pPr>
        <w:rPr>
          <w:b/>
        </w:rPr>
        <w:sectPr w:rsidR="00910029" w:rsidSect="00910029">
          <w:type w:val="continuous"/>
          <w:pgSz w:w="11907" w:h="16840" w:code="9"/>
          <w:pgMar w:top="1134" w:right="1440" w:bottom="1440" w:left="1701" w:header="720" w:footer="709" w:gutter="0"/>
          <w:cols w:num="2" w:space="720"/>
          <w:titlePg/>
          <w:docGrid w:linePitch="326"/>
        </w:sectPr>
      </w:pPr>
    </w:p>
    <w:bookmarkEnd w:id="12"/>
    <w:p w14:paraId="36072B40" w14:textId="77777777" w:rsidR="00910029" w:rsidRPr="00FB2616" w:rsidRDefault="00910029" w:rsidP="00910029">
      <w:pPr>
        <w:rPr>
          <w:rFonts w:eastAsiaTheme="majorEastAsia" w:cstheme="majorBidi"/>
          <w:b/>
          <w:bCs/>
          <w:iCs/>
          <w:color w:val="1168A9"/>
        </w:rPr>
      </w:pPr>
      <w:r w:rsidRPr="00917FE9">
        <w:rPr>
          <w:rFonts w:eastAsiaTheme="majorEastAsia" w:cstheme="majorBidi"/>
          <w:b/>
          <w:bCs/>
          <w:iCs/>
        </w:rPr>
        <w:lastRenderedPageBreak/>
        <w:t>Complaints lodged from the Indian Ocean Territories</w:t>
      </w:r>
    </w:p>
    <w:p w14:paraId="4C12F484" w14:textId="77777777" w:rsidR="00910029" w:rsidRPr="0022487A" w:rsidRDefault="00910029" w:rsidP="00910029"/>
    <w:p w14:paraId="0E3B439F" w14:textId="77777777" w:rsidR="00910029" w:rsidRDefault="00910029" w:rsidP="00910029">
      <w:r w:rsidRPr="00B04C36">
        <w:t xml:space="preserve">Our services are provided to the Indian Ocean Territories (IOT) through a Service Delivery Arrangement with the </w:t>
      </w:r>
      <w:r>
        <w:t>Australian</w:t>
      </w:r>
      <w:r w:rsidRPr="00B04C36">
        <w:t xml:space="preserve"> Government. HaDSCO</w:t>
      </w:r>
      <w:r>
        <w:t xml:space="preserve"> received and closed three complaints in the 2017-18</w:t>
      </w:r>
      <w:r w:rsidRPr="00B04C36">
        <w:t xml:space="preserve"> financial yea</w:t>
      </w:r>
      <w:r>
        <w:t xml:space="preserve">r as part of this Arrangement. </w:t>
      </w:r>
    </w:p>
    <w:p w14:paraId="129DF22C" w14:textId="77777777" w:rsidR="00910029" w:rsidRDefault="00910029" w:rsidP="00910029"/>
    <w:p w14:paraId="5060396E" w14:textId="77777777" w:rsidR="00910029" w:rsidRDefault="00910029" w:rsidP="00910029">
      <w:r>
        <w:t>The number of complaints managed by HaDSCO decreased in comparison to the 2016-17 financial year</w:t>
      </w:r>
      <w:r w:rsidRPr="00B04C36">
        <w:t xml:space="preserve">, </w:t>
      </w:r>
      <w:r>
        <w:t xml:space="preserve">when representatives from </w:t>
      </w:r>
      <w:r w:rsidRPr="00B04C36">
        <w:t xml:space="preserve">our Office </w:t>
      </w:r>
      <w:r>
        <w:t>visited the IOT and discussed a number of complaints with residents.</w:t>
      </w:r>
    </w:p>
    <w:p w14:paraId="16881AB0" w14:textId="77777777" w:rsidR="00910029" w:rsidRDefault="00910029" w:rsidP="00910029"/>
    <w:p w14:paraId="5311FE0F" w14:textId="77777777" w:rsidR="00F70F07" w:rsidRPr="004A0004" w:rsidRDefault="00F70F07" w:rsidP="00803B2C">
      <w:pPr>
        <w:rPr>
          <w:rFonts w:eastAsiaTheme="majorEastAsia" w:cstheme="majorBidi"/>
          <w:b/>
          <w:bCs/>
          <w:iCs/>
        </w:rPr>
      </w:pPr>
      <w:r w:rsidRPr="00917FE9">
        <w:rPr>
          <w:rFonts w:eastAsiaTheme="majorEastAsia" w:cstheme="majorBidi"/>
          <w:b/>
          <w:bCs/>
          <w:iCs/>
        </w:rPr>
        <w:t>Outcomes achieved</w:t>
      </w:r>
      <w:r w:rsidRPr="004A0004">
        <w:rPr>
          <w:rFonts w:eastAsiaTheme="majorEastAsia" w:cstheme="majorBidi"/>
          <w:b/>
          <w:bCs/>
          <w:iCs/>
        </w:rPr>
        <w:t xml:space="preserve"> </w:t>
      </w:r>
    </w:p>
    <w:p w14:paraId="744C70E5" w14:textId="77777777" w:rsidR="00F70F07" w:rsidRPr="00803B2C" w:rsidRDefault="00F70F07" w:rsidP="00F70F07">
      <w:pPr>
        <w:rPr>
          <w:rFonts w:eastAsiaTheme="majorEastAsia" w:cstheme="majorBidi"/>
          <w:b/>
          <w:bCs/>
          <w:iCs/>
        </w:rPr>
      </w:pPr>
    </w:p>
    <w:p w14:paraId="338DBEBE" w14:textId="77777777" w:rsidR="00EC31A3" w:rsidRPr="001D2369" w:rsidRDefault="00EC31A3" w:rsidP="00EC31A3">
      <w:r w:rsidRPr="001D2369">
        <w:t xml:space="preserve">HaDSCO achieves a range of outcomes for both the person who made the complaint and for improved service delivery in the health, disability and mental health sectors. </w:t>
      </w:r>
    </w:p>
    <w:p w14:paraId="5FDB4B73" w14:textId="77777777" w:rsidR="00EC31A3" w:rsidRPr="001D2369" w:rsidRDefault="00EC31A3" w:rsidP="00EC31A3"/>
    <w:p w14:paraId="7AEA5F1A" w14:textId="77777777" w:rsidR="00EC31A3" w:rsidRPr="001D2369" w:rsidRDefault="00EC31A3" w:rsidP="00EC31A3">
      <w:r w:rsidRPr="001D2369">
        <w:t>HaDSCO’s complaint resolution process produced a re</w:t>
      </w:r>
      <w:r>
        <w:t>dress outcome in 77</w:t>
      </w:r>
      <w:r w:rsidRPr="001D2369">
        <w:t>% of the complaints closed by negotiated settlement, conci</w:t>
      </w:r>
      <w:r>
        <w:t>liation or investigation in 2017-18</w:t>
      </w:r>
      <w:r w:rsidRPr="001D2369">
        <w:t>.</w:t>
      </w:r>
      <w:r>
        <w:t xml:space="preserve"> This resulted in a total of 163</w:t>
      </w:r>
      <w:r w:rsidRPr="001D2369">
        <w:t xml:space="preserve"> outcomes for individuals</w:t>
      </w:r>
      <w:r>
        <w:t>,</w:t>
      </w:r>
      <w:r w:rsidRPr="001D2369">
        <w:t xml:space="preserve"> as shown in</w:t>
      </w:r>
      <w:r>
        <w:t xml:space="preserve"> Figure 6. This compares to 62% of complaints closed by negotiated settlement, conciliation or investigation producing a redress outcome in 2016-17 (for a total of 144 redress outcomes).</w:t>
      </w:r>
    </w:p>
    <w:p w14:paraId="0C4F70F8" w14:textId="77777777" w:rsidR="00EC31A3" w:rsidRPr="001D2369" w:rsidRDefault="00EC31A3" w:rsidP="00EC31A3"/>
    <w:p w14:paraId="25823FBB" w14:textId="67D18F49" w:rsidR="00F70F07" w:rsidRDefault="00EC31A3" w:rsidP="00EC31A3">
      <w:r w:rsidRPr="001D2369">
        <w:t>The most common re</w:t>
      </w:r>
      <w:r>
        <w:t>dress</w:t>
      </w:r>
      <w:r w:rsidRPr="001D2369">
        <w:t xml:space="preserve"> outcomes resulting from complaints managed through a resolution process were: the service provider offering an explanation to the individual making the complaint; an apology given by the service provider</w:t>
      </w:r>
      <w:r>
        <w:t>;</w:t>
      </w:r>
      <w:r w:rsidRPr="001D2369">
        <w:t xml:space="preserve"> the service provider refunding or waiving costs</w:t>
      </w:r>
      <w:r>
        <w:t>; and</w:t>
      </w:r>
      <w:r w:rsidRPr="001D2369">
        <w:t xml:space="preserve"> a service </w:t>
      </w:r>
      <w:r>
        <w:t>obtained for an individual.</w:t>
      </w:r>
    </w:p>
    <w:p w14:paraId="10D3B224" w14:textId="77777777" w:rsidR="00F70F07" w:rsidRDefault="00F70F07" w:rsidP="00F70F07">
      <w:pPr>
        <w:pStyle w:val="Normal-L3"/>
        <w:spacing w:line="276" w:lineRule="auto"/>
        <w:rPr>
          <w:rFonts w:eastAsiaTheme="majorEastAsia" w:cstheme="majorBidi"/>
          <w:b/>
          <w:bCs/>
          <w:color w:val="000000" w:themeColor="text1"/>
          <w:szCs w:val="24"/>
        </w:rPr>
      </w:pPr>
    </w:p>
    <w:p w14:paraId="5F50FD5B" w14:textId="77777777" w:rsidR="00EC31A3" w:rsidRDefault="00EC31A3" w:rsidP="00EC31A3">
      <w:pPr>
        <w:pStyle w:val="Normal-L3"/>
        <w:spacing w:line="276" w:lineRule="auto"/>
        <w:rPr>
          <w:rFonts w:eastAsiaTheme="majorEastAsia" w:cstheme="majorBidi"/>
          <w:b/>
          <w:bCs/>
          <w:color w:val="000000" w:themeColor="text1"/>
          <w:szCs w:val="24"/>
        </w:rPr>
      </w:pPr>
      <w:r>
        <w:rPr>
          <w:rFonts w:eastAsiaTheme="majorEastAsia" w:cstheme="majorBidi"/>
          <w:b/>
          <w:bCs/>
          <w:color w:val="000000" w:themeColor="text1"/>
          <w:szCs w:val="24"/>
        </w:rPr>
        <w:t>Figure 6</w:t>
      </w:r>
      <w:r w:rsidRPr="00467EC0">
        <w:rPr>
          <w:rFonts w:eastAsiaTheme="majorEastAsia" w:cstheme="majorBidi"/>
          <w:b/>
          <w:bCs/>
          <w:color w:val="000000" w:themeColor="text1"/>
          <w:szCs w:val="24"/>
        </w:rPr>
        <w:t xml:space="preserve">: </w:t>
      </w:r>
      <w:r>
        <w:rPr>
          <w:rFonts w:eastAsiaTheme="majorEastAsia" w:cstheme="majorBidi"/>
          <w:b/>
          <w:bCs/>
          <w:color w:val="000000" w:themeColor="text1"/>
          <w:szCs w:val="24"/>
        </w:rPr>
        <w:t xml:space="preserve">Redress outcomes resulting from complaints managed through a resolution process </w:t>
      </w:r>
    </w:p>
    <w:p w14:paraId="41147C00" w14:textId="77777777" w:rsidR="00EC31A3" w:rsidRPr="00C32687" w:rsidRDefault="00EC31A3" w:rsidP="00EC31A3">
      <w:pPr>
        <w:pStyle w:val="Normal-L3"/>
        <w:spacing w:line="276" w:lineRule="auto"/>
        <w:rPr>
          <w:rFonts w:eastAsiaTheme="majorEastAsia" w:cstheme="majorBidi"/>
          <w:bCs/>
          <w:color w:val="000000" w:themeColor="text1"/>
          <w:szCs w:val="24"/>
        </w:rPr>
      </w:pPr>
      <w:r>
        <w:rPr>
          <w:rFonts w:eastAsiaTheme="majorEastAsia" w:cstheme="majorBidi"/>
          <w:b/>
          <w:bCs/>
          <w:noProof/>
          <w:color w:val="000000" w:themeColor="text1"/>
          <w:szCs w:val="24"/>
          <w:lang w:eastAsia="en-AU"/>
        </w:rPr>
        <w:drawing>
          <wp:inline distT="0" distB="0" distL="0" distR="0" wp14:anchorId="49E5F413" wp14:editId="15D16235">
            <wp:extent cx="5040000" cy="3024000"/>
            <wp:effectExtent l="0" t="0" r="27305" b="24130"/>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F7F2C75" w14:textId="77777777" w:rsidR="00F70F07" w:rsidRDefault="00F70F07">
      <w:pPr>
        <w:spacing w:after="200" w:line="276" w:lineRule="auto"/>
        <w:rPr>
          <w:b/>
        </w:rPr>
      </w:pPr>
      <w:r>
        <w:rPr>
          <w:b/>
        </w:rPr>
        <w:br w:type="page"/>
      </w:r>
    </w:p>
    <w:p w14:paraId="1CD93895" w14:textId="77777777" w:rsidR="00F70F07" w:rsidRPr="009402D8" w:rsidRDefault="00F70F07" w:rsidP="00F70F07">
      <w:pPr>
        <w:rPr>
          <w:b/>
        </w:rPr>
      </w:pPr>
      <w:r w:rsidRPr="00EC31A3">
        <w:rPr>
          <w:b/>
        </w:rPr>
        <w:lastRenderedPageBreak/>
        <w:t>Service improvements</w:t>
      </w:r>
    </w:p>
    <w:p w14:paraId="545C68D2" w14:textId="186526F7" w:rsidR="00F70F07" w:rsidRDefault="00F70F07" w:rsidP="00F70F07">
      <w:r w:rsidRPr="009402D8">
        <w:t xml:space="preserve">In 2017-18, </w:t>
      </w:r>
      <w:r w:rsidR="00BB5852" w:rsidRPr="00BB5852">
        <w:rPr>
          <w:b/>
          <w:sz w:val="28"/>
          <w:szCs w:val="28"/>
        </w:rPr>
        <w:t>39</w:t>
      </w:r>
      <w:r w:rsidRPr="009402D8">
        <w:t xml:space="preserve"> service improvements were managed as a result of our involvement. Examples of agreed actions implemented by service providers as a result of complaints made to HaDSCO are detailed below:</w:t>
      </w:r>
    </w:p>
    <w:p w14:paraId="782E1F12" w14:textId="77777777" w:rsidR="00F70F07" w:rsidRPr="009402D8" w:rsidRDefault="00F70F07" w:rsidP="00F70F07"/>
    <w:tbl>
      <w:tblPr>
        <w:tblStyle w:val="TableGrid"/>
        <w:tblW w:w="0" w:type="auto"/>
        <w:tblLook w:val="04A0" w:firstRow="1" w:lastRow="0" w:firstColumn="1" w:lastColumn="0" w:noHBand="0" w:noVBand="1"/>
      </w:tblPr>
      <w:tblGrid>
        <w:gridCol w:w="3936"/>
        <w:gridCol w:w="5306"/>
      </w:tblGrid>
      <w:tr w:rsidR="009166DF" w:rsidRPr="009402D8" w14:paraId="2964544C" w14:textId="77777777" w:rsidTr="008E7407">
        <w:tc>
          <w:tcPr>
            <w:tcW w:w="3936" w:type="dxa"/>
          </w:tcPr>
          <w:p w14:paraId="34D2938F" w14:textId="77777777" w:rsidR="009166DF" w:rsidRPr="009402D8" w:rsidRDefault="009166DF" w:rsidP="008E7407">
            <w:pPr>
              <w:rPr>
                <w:b/>
              </w:rPr>
            </w:pPr>
            <w:r w:rsidRPr="009402D8">
              <w:rPr>
                <w:b/>
              </w:rPr>
              <w:t>Recommendations /Agreed actions</w:t>
            </w:r>
          </w:p>
        </w:tc>
        <w:tc>
          <w:tcPr>
            <w:tcW w:w="5306" w:type="dxa"/>
          </w:tcPr>
          <w:p w14:paraId="0D73AA98" w14:textId="77777777" w:rsidR="009166DF" w:rsidRPr="009402D8" w:rsidRDefault="009166DF" w:rsidP="008E7407">
            <w:pPr>
              <w:rPr>
                <w:b/>
              </w:rPr>
            </w:pPr>
            <w:r w:rsidRPr="009402D8">
              <w:rPr>
                <w:b/>
              </w:rPr>
              <w:t>Service improvement</w:t>
            </w:r>
          </w:p>
        </w:tc>
      </w:tr>
      <w:tr w:rsidR="009166DF" w:rsidRPr="009402D8" w14:paraId="622A2AF2" w14:textId="77777777" w:rsidTr="008E7407">
        <w:trPr>
          <w:trHeight w:val="540"/>
        </w:trPr>
        <w:tc>
          <w:tcPr>
            <w:tcW w:w="3936" w:type="dxa"/>
            <w:vMerge w:val="restart"/>
          </w:tcPr>
          <w:p w14:paraId="0902C19A" w14:textId="77777777" w:rsidR="009166DF" w:rsidRPr="009402D8" w:rsidRDefault="009166DF" w:rsidP="008E7407">
            <w:r w:rsidRPr="009402D8">
              <w:t>Review or change in policy</w:t>
            </w:r>
          </w:p>
        </w:tc>
        <w:tc>
          <w:tcPr>
            <w:tcW w:w="5306" w:type="dxa"/>
          </w:tcPr>
          <w:p w14:paraId="49C9EA31" w14:textId="77777777" w:rsidR="009166DF" w:rsidRPr="009402D8" w:rsidRDefault="009166DF" w:rsidP="008E7407">
            <w:r w:rsidRPr="009402D8">
              <w:t xml:space="preserve">Review of policy, procedure and consent forms used </w:t>
            </w:r>
            <w:r>
              <w:t xml:space="preserve">for </w:t>
            </w:r>
            <w:r w:rsidRPr="009402D8">
              <w:t>dental surgery under general anaesthetic.</w:t>
            </w:r>
          </w:p>
        </w:tc>
      </w:tr>
      <w:tr w:rsidR="009166DF" w:rsidRPr="009402D8" w14:paraId="7AF00647" w14:textId="77777777" w:rsidTr="008E7407">
        <w:trPr>
          <w:trHeight w:val="540"/>
        </w:trPr>
        <w:tc>
          <w:tcPr>
            <w:tcW w:w="3936" w:type="dxa"/>
            <w:vMerge/>
          </w:tcPr>
          <w:p w14:paraId="06BE7B41" w14:textId="77777777" w:rsidR="009166DF" w:rsidRPr="009402D8" w:rsidRDefault="009166DF" w:rsidP="008E7407"/>
        </w:tc>
        <w:tc>
          <w:tcPr>
            <w:tcW w:w="5306" w:type="dxa"/>
          </w:tcPr>
          <w:p w14:paraId="548B3152" w14:textId="77777777" w:rsidR="009166DF" w:rsidRPr="009402D8" w:rsidRDefault="009166DF" w:rsidP="008E7407">
            <w:r w:rsidRPr="009402D8">
              <w:t xml:space="preserve">Development of patient information sheets for specific clinical procedures. </w:t>
            </w:r>
          </w:p>
        </w:tc>
      </w:tr>
      <w:tr w:rsidR="009166DF" w:rsidRPr="009402D8" w14:paraId="4AB72137" w14:textId="77777777" w:rsidTr="008E7407">
        <w:trPr>
          <w:trHeight w:val="540"/>
        </w:trPr>
        <w:tc>
          <w:tcPr>
            <w:tcW w:w="3936" w:type="dxa"/>
            <w:vMerge/>
          </w:tcPr>
          <w:p w14:paraId="652DDCC8" w14:textId="77777777" w:rsidR="009166DF" w:rsidRPr="009402D8" w:rsidRDefault="009166DF" w:rsidP="008E7407"/>
        </w:tc>
        <w:tc>
          <w:tcPr>
            <w:tcW w:w="5306" w:type="dxa"/>
          </w:tcPr>
          <w:p w14:paraId="2B7BE2C3" w14:textId="77777777" w:rsidR="009166DF" w:rsidRPr="009402D8" w:rsidRDefault="009166DF" w:rsidP="008E7407">
            <w:r>
              <w:t>Development of a new transition policy by a disability service provider to include ongoing consultation with families.</w:t>
            </w:r>
          </w:p>
        </w:tc>
      </w:tr>
      <w:tr w:rsidR="009166DF" w:rsidRPr="009402D8" w14:paraId="1979134D" w14:textId="77777777" w:rsidTr="008E7407">
        <w:trPr>
          <w:trHeight w:val="540"/>
        </w:trPr>
        <w:tc>
          <w:tcPr>
            <w:tcW w:w="3936" w:type="dxa"/>
            <w:vMerge/>
          </w:tcPr>
          <w:p w14:paraId="6E8214AB" w14:textId="77777777" w:rsidR="009166DF" w:rsidRPr="009402D8" w:rsidRDefault="009166DF" w:rsidP="008E7407"/>
        </w:tc>
        <w:tc>
          <w:tcPr>
            <w:tcW w:w="5306" w:type="dxa"/>
          </w:tcPr>
          <w:p w14:paraId="0F5FCE39" w14:textId="77777777" w:rsidR="009166DF" w:rsidRPr="009402D8" w:rsidRDefault="009166DF" w:rsidP="008E7407">
            <w:r w:rsidRPr="009402D8">
              <w:t>Develop</w:t>
            </w:r>
            <w:r>
              <w:t xml:space="preserve">ment of </w:t>
            </w:r>
            <w:r w:rsidRPr="009402D8">
              <w:t xml:space="preserve">a practice standard to achieve compliance with section 257 of the </w:t>
            </w:r>
            <w:r w:rsidRPr="00290806">
              <w:rPr>
                <w:i/>
              </w:rPr>
              <w:t>Mental Health Act 2014</w:t>
            </w:r>
            <w:r w:rsidRPr="009402D8">
              <w:t>.</w:t>
            </w:r>
          </w:p>
          <w:p w14:paraId="69771BF9" w14:textId="77777777" w:rsidR="009166DF" w:rsidRPr="009402D8" w:rsidRDefault="009166DF" w:rsidP="008E7407">
            <w:r w:rsidRPr="009402D8">
              <w:t xml:space="preserve">This includes a provision that clinicians document their discussion with patients regarding reasons for </w:t>
            </w:r>
            <w:r>
              <w:t xml:space="preserve">the </w:t>
            </w:r>
            <w:r w:rsidRPr="009402D8">
              <w:t>refusal</w:t>
            </w:r>
            <w:r>
              <w:t xml:space="preserve"> to admit them as a voluntary patient</w:t>
            </w:r>
            <w:r w:rsidRPr="009402D8">
              <w:t xml:space="preserve">; </w:t>
            </w:r>
            <w:r>
              <w:t xml:space="preserve">that individuals are informed of their </w:t>
            </w:r>
            <w:r w:rsidRPr="009402D8">
              <w:t xml:space="preserve">right to lodge </w:t>
            </w:r>
            <w:r>
              <w:t xml:space="preserve">a </w:t>
            </w:r>
            <w:r w:rsidRPr="009402D8">
              <w:t xml:space="preserve">complaint and </w:t>
            </w:r>
            <w:r>
              <w:t xml:space="preserve">informed that they may </w:t>
            </w:r>
            <w:r w:rsidRPr="009402D8">
              <w:t xml:space="preserve">request reasons </w:t>
            </w:r>
            <w:r>
              <w:t xml:space="preserve">for the refusal of admission </w:t>
            </w:r>
            <w:r w:rsidRPr="009402D8">
              <w:t>in writing.</w:t>
            </w:r>
          </w:p>
        </w:tc>
      </w:tr>
      <w:tr w:rsidR="009166DF" w:rsidRPr="009402D8" w14:paraId="5A623071" w14:textId="77777777" w:rsidTr="008E7407">
        <w:trPr>
          <w:trHeight w:val="540"/>
        </w:trPr>
        <w:tc>
          <w:tcPr>
            <w:tcW w:w="3936" w:type="dxa"/>
            <w:vMerge w:val="restart"/>
          </w:tcPr>
          <w:p w14:paraId="54E61D67" w14:textId="77777777" w:rsidR="009166DF" w:rsidRPr="009402D8" w:rsidRDefault="009166DF" w:rsidP="008E7407">
            <w:r w:rsidRPr="009402D8">
              <w:t>Change in procedure</w:t>
            </w:r>
          </w:p>
        </w:tc>
        <w:tc>
          <w:tcPr>
            <w:tcW w:w="5306" w:type="dxa"/>
          </w:tcPr>
          <w:p w14:paraId="1B02ED9C" w14:textId="77777777" w:rsidR="009166DF" w:rsidRPr="009402D8" w:rsidRDefault="009166DF" w:rsidP="008E7407">
            <w:r>
              <w:t xml:space="preserve">Procedure revised to ensure that </w:t>
            </w:r>
            <w:r w:rsidRPr="009402D8">
              <w:t xml:space="preserve">appropriate information </w:t>
            </w:r>
            <w:r>
              <w:t xml:space="preserve">is provided </w:t>
            </w:r>
            <w:r w:rsidRPr="009402D8">
              <w:t>to support individuals to make informed decisions about their treatment.</w:t>
            </w:r>
          </w:p>
        </w:tc>
      </w:tr>
      <w:tr w:rsidR="009166DF" w:rsidRPr="009402D8" w14:paraId="5CCD9643" w14:textId="77777777" w:rsidTr="008E7407">
        <w:trPr>
          <w:trHeight w:val="540"/>
        </w:trPr>
        <w:tc>
          <w:tcPr>
            <w:tcW w:w="3936" w:type="dxa"/>
            <w:vMerge/>
          </w:tcPr>
          <w:p w14:paraId="03E956CA" w14:textId="77777777" w:rsidR="009166DF" w:rsidRPr="009402D8" w:rsidRDefault="009166DF" w:rsidP="008E7407"/>
        </w:tc>
        <w:tc>
          <w:tcPr>
            <w:tcW w:w="5306" w:type="dxa"/>
          </w:tcPr>
          <w:p w14:paraId="29B340E7" w14:textId="77777777" w:rsidR="009166DF" w:rsidRPr="009402D8" w:rsidRDefault="009166DF" w:rsidP="008E7407">
            <w:r w:rsidRPr="009402D8">
              <w:t>Development of a quality checklist to follow up on test results.</w:t>
            </w:r>
          </w:p>
        </w:tc>
      </w:tr>
      <w:tr w:rsidR="009166DF" w:rsidRPr="009402D8" w14:paraId="286757C1" w14:textId="77777777" w:rsidTr="008E7407">
        <w:trPr>
          <w:trHeight w:val="937"/>
        </w:trPr>
        <w:tc>
          <w:tcPr>
            <w:tcW w:w="3936" w:type="dxa"/>
            <w:vMerge/>
          </w:tcPr>
          <w:p w14:paraId="560A78F5" w14:textId="77777777" w:rsidR="009166DF" w:rsidRPr="009402D8" w:rsidRDefault="009166DF" w:rsidP="008E7407"/>
        </w:tc>
        <w:tc>
          <w:tcPr>
            <w:tcW w:w="5306" w:type="dxa"/>
          </w:tcPr>
          <w:p w14:paraId="6ACF2911" w14:textId="77777777" w:rsidR="009166DF" w:rsidRPr="009402D8" w:rsidRDefault="009166DF" w:rsidP="008E7407">
            <w:r>
              <w:t>Development of</w:t>
            </w:r>
            <w:r w:rsidRPr="009402D8">
              <w:t xml:space="preserve"> a specific consent form which details the material risks associated with clinical procedures.</w:t>
            </w:r>
          </w:p>
        </w:tc>
      </w:tr>
      <w:tr w:rsidR="009166DF" w:rsidRPr="009402D8" w14:paraId="760C7F09" w14:textId="77777777" w:rsidTr="008E7407">
        <w:trPr>
          <w:trHeight w:val="844"/>
        </w:trPr>
        <w:tc>
          <w:tcPr>
            <w:tcW w:w="3936" w:type="dxa"/>
            <w:vMerge/>
          </w:tcPr>
          <w:p w14:paraId="1F9E5438" w14:textId="77777777" w:rsidR="009166DF" w:rsidRPr="009402D8" w:rsidRDefault="009166DF" w:rsidP="008E7407"/>
        </w:tc>
        <w:tc>
          <w:tcPr>
            <w:tcW w:w="5306" w:type="dxa"/>
          </w:tcPr>
          <w:p w14:paraId="1811984D" w14:textId="77777777" w:rsidR="009166DF" w:rsidRPr="009402D8" w:rsidRDefault="009166DF" w:rsidP="008E7407">
            <w:r>
              <w:t xml:space="preserve">Development of </w:t>
            </w:r>
            <w:r w:rsidRPr="009402D8">
              <w:t xml:space="preserve">a process for documenting the regular inspection of cannula sites during the administration of intravenous </w:t>
            </w:r>
            <w:r>
              <w:t xml:space="preserve">iron </w:t>
            </w:r>
            <w:r w:rsidRPr="009402D8">
              <w:t>infusions.</w:t>
            </w:r>
          </w:p>
        </w:tc>
      </w:tr>
      <w:tr w:rsidR="009166DF" w:rsidRPr="009402D8" w14:paraId="381E78CD" w14:textId="77777777" w:rsidTr="008E7407">
        <w:trPr>
          <w:trHeight w:val="465"/>
        </w:trPr>
        <w:tc>
          <w:tcPr>
            <w:tcW w:w="3936" w:type="dxa"/>
            <w:vMerge/>
          </w:tcPr>
          <w:p w14:paraId="58727DE5" w14:textId="77777777" w:rsidR="009166DF" w:rsidRPr="009402D8" w:rsidRDefault="009166DF" w:rsidP="008E7407"/>
        </w:tc>
        <w:tc>
          <w:tcPr>
            <w:tcW w:w="5306" w:type="dxa"/>
          </w:tcPr>
          <w:p w14:paraId="3B549D2C" w14:textId="320F6071" w:rsidR="009166DF" w:rsidRDefault="0023062E" w:rsidP="0023062E">
            <w:r>
              <w:t xml:space="preserve">Development of a procedure </w:t>
            </w:r>
            <w:r w:rsidR="009166DF">
              <w:t>the efficient and coordinated management of complaints.</w:t>
            </w:r>
          </w:p>
        </w:tc>
      </w:tr>
      <w:tr w:rsidR="009166DF" w:rsidRPr="009402D8" w14:paraId="05970440" w14:textId="77777777" w:rsidTr="008E7407">
        <w:trPr>
          <w:trHeight w:val="465"/>
        </w:trPr>
        <w:tc>
          <w:tcPr>
            <w:tcW w:w="3936" w:type="dxa"/>
            <w:vMerge/>
          </w:tcPr>
          <w:p w14:paraId="040D25D2" w14:textId="77777777" w:rsidR="009166DF" w:rsidRPr="009402D8" w:rsidRDefault="009166DF" w:rsidP="008E7407"/>
        </w:tc>
        <w:tc>
          <w:tcPr>
            <w:tcW w:w="5306" w:type="dxa"/>
          </w:tcPr>
          <w:p w14:paraId="0770987F" w14:textId="12F3AB37" w:rsidR="009166DF" w:rsidRPr="00641A66" w:rsidRDefault="009166DF" w:rsidP="008E7407">
            <w:r w:rsidRPr="000066F3">
              <w:t>Development of an information sheet to inform patients about ureteric stent procedures</w:t>
            </w:r>
            <w:r w:rsidR="0023062E">
              <w:t xml:space="preserve"> in a hospital</w:t>
            </w:r>
            <w:r w:rsidRPr="000066F3">
              <w:t>.</w:t>
            </w:r>
          </w:p>
        </w:tc>
      </w:tr>
      <w:tr w:rsidR="009166DF" w:rsidRPr="009402D8" w14:paraId="630732AE" w14:textId="77777777" w:rsidTr="008E7407">
        <w:trPr>
          <w:trHeight w:val="465"/>
        </w:trPr>
        <w:tc>
          <w:tcPr>
            <w:tcW w:w="3936" w:type="dxa"/>
            <w:vMerge/>
          </w:tcPr>
          <w:p w14:paraId="0D8AC300" w14:textId="77777777" w:rsidR="009166DF" w:rsidRPr="009402D8" w:rsidRDefault="009166DF" w:rsidP="008E7407"/>
        </w:tc>
        <w:tc>
          <w:tcPr>
            <w:tcW w:w="5306" w:type="dxa"/>
          </w:tcPr>
          <w:p w14:paraId="1F678FDF" w14:textId="77777777" w:rsidR="009166DF" w:rsidRPr="00641A66" w:rsidRDefault="009166DF" w:rsidP="008E7407">
            <w:r w:rsidRPr="000066F3">
              <w:t xml:space="preserve">Process revised to enable an online feedback form to be used by patients to make a complaint without </w:t>
            </w:r>
            <w:r w:rsidRPr="00641A66">
              <w:t>having to lodge a separate complaint form.</w:t>
            </w:r>
          </w:p>
        </w:tc>
      </w:tr>
      <w:tr w:rsidR="009166DF" w:rsidRPr="009402D8" w14:paraId="461004DE" w14:textId="77777777" w:rsidTr="008E7407">
        <w:trPr>
          <w:trHeight w:val="465"/>
        </w:trPr>
        <w:tc>
          <w:tcPr>
            <w:tcW w:w="3936" w:type="dxa"/>
            <w:vMerge/>
          </w:tcPr>
          <w:p w14:paraId="263020CB" w14:textId="77777777" w:rsidR="009166DF" w:rsidRPr="009402D8" w:rsidRDefault="009166DF" w:rsidP="008E7407"/>
        </w:tc>
        <w:tc>
          <w:tcPr>
            <w:tcW w:w="5306" w:type="dxa"/>
          </w:tcPr>
          <w:p w14:paraId="53C0939F" w14:textId="77777777" w:rsidR="009166DF" w:rsidRDefault="009166DF" w:rsidP="008E7407">
            <w:r>
              <w:t xml:space="preserve">Implementation of a </w:t>
            </w:r>
            <w:r w:rsidRPr="009402D8">
              <w:t>new Pharmacy procedure for dispensing injections.</w:t>
            </w:r>
          </w:p>
          <w:p w14:paraId="1F66CE96" w14:textId="77777777" w:rsidR="006542F1" w:rsidRPr="009402D8" w:rsidRDefault="006542F1" w:rsidP="008E7407"/>
        </w:tc>
      </w:tr>
      <w:tr w:rsidR="009166DF" w:rsidRPr="009402D8" w14:paraId="4492D1F4" w14:textId="77777777" w:rsidTr="009166DF">
        <w:trPr>
          <w:trHeight w:val="840"/>
        </w:trPr>
        <w:tc>
          <w:tcPr>
            <w:tcW w:w="3936" w:type="dxa"/>
            <w:vMerge w:val="restart"/>
          </w:tcPr>
          <w:p w14:paraId="6F979136" w14:textId="77777777" w:rsidR="009166DF" w:rsidRPr="009402D8" w:rsidRDefault="009166DF" w:rsidP="008E7407">
            <w:r w:rsidRPr="009402D8">
              <w:lastRenderedPageBreak/>
              <w:t>Communication</w:t>
            </w:r>
          </w:p>
        </w:tc>
        <w:tc>
          <w:tcPr>
            <w:tcW w:w="5306" w:type="dxa"/>
          </w:tcPr>
          <w:p w14:paraId="24AAB948" w14:textId="6136B2F9" w:rsidR="009166DF" w:rsidRPr="009402D8" w:rsidRDefault="009166DF" w:rsidP="009166DF">
            <w:r>
              <w:t>Communication protocols improved by medical practitioners regarding the termination of a professional treating relationship with patients.</w:t>
            </w:r>
          </w:p>
        </w:tc>
      </w:tr>
      <w:tr w:rsidR="009166DF" w:rsidRPr="009402D8" w14:paraId="7EBA3D84" w14:textId="77777777" w:rsidTr="008E7407">
        <w:trPr>
          <w:trHeight w:val="473"/>
        </w:trPr>
        <w:tc>
          <w:tcPr>
            <w:tcW w:w="3936" w:type="dxa"/>
            <w:vMerge/>
          </w:tcPr>
          <w:p w14:paraId="4F8D4C77" w14:textId="77777777" w:rsidR="009166DF" w:rsidRPr="009402D8" w:rsidRDefault="009166DF" w:rsidP="008E7407"/>
        </w:tc>
        <w:tc>
          <w:tcPr>
            <w:tcW w:w="5306" w:type="dxa"/>
          </w:tcPr>
          <w:p w14:paraId="7ABB4E5D" w14:textId="77777777" w:rsidR="009166DF" w:rsidRPr="009402D8" w:rsidRDefault="009166DF" w:rsidP="008E7407">
            <w:r w:rsidRPr="009402D8">
              <w:t xml:space="preserve">Improved communication with families to ensure that they are </w:t>
            </w:r>
            <w:r>
              <w:t>consulted about</w:t>
            </w:r>
            <w:r w:rsidRPr="009402D8">
              <w:t xml:space="preserve"> proposed changes to disability accommodation arrangements.</w:t>
            </w:r>
          </w:p>
        </w:tc>
      </w:tr>
      <w:tr w:rsidR="009166DF" w:rsidRPr="009402D8" w14:paraId="6D58BA7F" w14:textId="77777777" w:rsidTr="008E7407">
        <w:trPr>
          <w:trHeight w:val="472"/>
        </w:trPr>
        <w:tc>
          <w:tcPr>
            <w:tcW w:w="3936" w:type="dxa"/>
            <w:vMerge/>
          </w:tcPr>
          <w:p w14:paraId="49D6FB32" w14:textId="77777777" w:rsidR="009166DF" w:rsidRPr="009402D8" w:rsidRDefault="009166DF" w:rsidP="008E7407"/>
        </w:tc>
        <w:tc>
          <w:tcPr>
            <w:tcW w:w="5306" w:type="dxa"/>
          </w:tcPr>
          <w:p w14:paraId="576F8BF2" w14:textId="77777777" w:rsidR="009166DF" w:rsidRPr="009402D8" w:rsidRDefault="009166DF" w:rsidP="008E7407">
            <w:r w:rsidRPr="009402D8">
              <w:t>Improved communication with carers regarding discharge arrangements</w:t>
            </w:r>
            <w:r>
              <w:t xml:space="preserve"> from hospital to an aged care facility.</w:t>
            </w:r>
            <w:r w:rsidRPr="009402D8">
              <w:t xml:space="preserve"> </w:t>
            </w:r>
          </w:p>
        </w:tc>
      </w:tr>
      <w:tr w:rsidR="009166DF" w:rsidRPr="009402D8" w14:paraId="0FCD53D1" w14:textId="77777777" w:rsidTr="008E7407">
        <w:trPr>
          <w:trHeight w:val="471"/>
        </w:trPr>
        <w:tc>
          <w:tcPr>
            <w:tcW w:w="3936" w:type="dxa"/>
            <w:vMerge w:val="restart"/>
          </w:tcPr>
          <w:p w14:paraId="7FF79670" w14:textId="77777777" w:rsidR="009166DF" w:rsidRPr="009402D8" w:rsidRDefault="009166DF" w:rsidP="008E7407">
            <w:r w:rsidRPr="009402D8">
              <w:t>Staff education and training</w:t>
            </w:r>
          </w:p>
        </w:tc>
        <w:tc>
          <w:tcPr>
            <w:tcW w:w="5306" w:type="dxa"/>
          </w:tcPr>
          <w:p w14:paraId="58535413" w14:textId="77777777" w:rsidR="009166DF" w:rsidRPr="009402D8" w:rsidRDefault="009166DF" w:rsidP="008E7407">
            <w:r>
              <w:t xml:space="preserve">Improvements made to medical record keeping practices. </w:t>
            </w:r>
          </w:p>
        </w:tc>
      </w:tr>
      <w:tr w:rsidR="009166DF" w:rsidRPr="009402D8" w14:paraId="7E374BFB" w14:textId="77777777" w:rsidTr="008E7407">
        <w:trPr>
          <w:trHeight w:val="468"/>
        </w:trPr>
        <w:tc>
          <w:tcPr>
            <w:tcW w:w="3936" w:type="dxa"/>
            <w:vMerge/>
          </w:tcPr>
          <w:p w14:paraId="53153684" w14:textId="77777777" w:rsidR="009166DF" w:rsidRPr="009402D8" w:rsidRDefault="009166DF" w:rsidP="008E7407"/>
        </w:tc>
        <w:tc>
          <w:tcPr>
            <w:tcW w:w="5306" w:type="dxa"/>
          </w:tcPr>
          <w:p w14:paraId="6FD94BA1" w14:textId="77777777" w:rsidR="009166DF" w:rsidRPr="009402D8" w:rsidRDefault="009166DF" w:rsidP="008E7407">
            <w:r>
              <w:t>Several c</w:t>
            </w:r>
            <w:r w:rsidRPr="009402D8">
              <w:t>omplaints used as de-identified case studies</w:t>
            </w:r>
            <w:r>
              <w:t xml:space="preserve"> for the purpose of educating staff</w:t>
            </w:r>
            <w:r w:rsidRPr="009402D8">
              <w:t xml:space="preserve">. </w:t>
            </w:r>
          </w:p>
        </w:tc>
      </w:tr>
      <w:tr w:rsidR="009166DF" w:rsidRPr="009402D8" w14:paraId="5783DC99" w14:textId="77777777" w:rsidTr="008E7407">
        <w:trPr>
          <w:trHeight w:val="270"/>
        </w:trPr>
        <w:tc>
          <w:tcPr>
            <w:tcW w:w="3936" w:type="dxa"/>
            <w:vMerge/>
          </w:tcPr>
          <w:p w14:paraId="2A6ADCFD" w14:textId="77777777" w:rsidR="009166DF" w:rsidRPr="009402D8" w:rsidRDefault="009166DF" w:rsidP="008E7407"/>
        </w:tc>
        <w:tc>
          <w:tcPr>
            <w:tcW w:w="5306" w:type="dxa"/>
          </w:tcPr>
          <w:p w14:paraId="60AC92AD" w14:textId="77777777" w:rsidR="009166DF" w:rsidRPr="009402D8" w:rsidRDefault="009166DF" w:rsidP="008E7407">
            <w:r>
              <w:t xml:space="preserve">Training provided to staff to improve </w:t>
            </w:r>
            <w:r w:rsidRPr="009402D8">
              <w:t>complaint handling procedures.</w:t>
            </w:r>
          </w:p>
        </w:tc>
      </w:tr>
    </w:tbl>
    <w:p w14:paraId="3E9742F6" w14:textId="6035DE71" w:rsidR="00BB5852" w:rsidRPr="009402D8" w:rsidRDefault="00BB5852" w:rsidP="00BB5852"/>
    <w:p w14:paraId="6766740C" w14:textId="77777777" w:rsidR="00F7633C" w:rsidRDefault="00F7633C" w:rsidP="00C8307B">
      <w:pPr>
        <w:jc w:val="both"/>
        <w:rPr>
          <w:b/>
        </w:rPr>
        <w:sectPr w:rsidR="00F7633C" w:rsidSect="00910029">
          <w:pgSz w:w="11907" w:h="16840" w:code="9"/>
          <w:pgMar w:top="1134" w:right="1440" w:bottom="1440" w:left="1440" w:header="720" w:footer="709" w:gutter="0"/>
          <w:cols w:space="720"/>
          <w:titlePg/>
          <w:docGrid w:linePitch="326"/>
        </w:sectPr>
      </w:pPr>
    </w:p>
    <w:p w14:paraId="4F1C38CC" w14:textId="74828B46" w:rsidR="00E13003" w:rsidRDefault="00E13003" w:rsidP="00E13003">
      <w:pPr>
        <w:spacing w:before="120" w:after="240"/>
        <w:ind w:firstLine="1276"/>
        <w:jc w:val="both"/>
        <w:rPr>
          <w:b/>
        </w:rPr>
      </w:pPr>
      <w:r>
        <w:rPr>
          <w:b/>
          <w:noProof/>
          <w:lang w:eastAsia="en-AU"/>
        </w:rPr>
        <w:lastRenderedPageBreak/>
        <mc:AlternateContent>
          <mc:Choice Requires="wps">
            <w:drawing>
              <wp:anchor distT="0" distB="0" distL="114300" distR="114300" simplePos="0" relativeHeight="252716032" behindDoc="1" locked="0" layoutInCell="1" allowOverlap="1" wp14:anchorId="39BB342E" wp14:editId="254C9FEB">
                <wp:simplePos x="0" y="0"/>
                <wp:positionH relativeFrom="margin">
                  <wp:posOffset>-123825</wp:posOffset>
                </wp:positionH>
                <wp:positionV relativeFrom="paragraph">
                  <wp:posOffset>274320</wp:posOffset>
                </wp:positionV>
                <wp:extent cx="5972175" cy="5581650"/>
                <wp:effectExtent l="0" t="0" r="28575" b="19050"/>
                <wp:wrapNone/>
                <wp:docPr id="13" name="Rectangle 13"/>
                <wp:cNvGraphicFramePr/>
                <a:graphic xmlns:a="http://schemas.openxmlformats.org/drawingml/2006/main">
                  <a:graphicData uri="http://schemas.microsoft.com/office/word/2010/wordprocessingShape">
                    <wps:wsp>
                      <wps:cNvSpPr/>
                      <wps:spPr>
                        <a:xfrm>
                          <a:off x="0" y="0"/>
                          <a:ext cx="5972175" cy="5581650"/>
                        </a:xfrm>
                        <a:prstGeom prst="rect">
                          <a:avLst/>
                        </a:prstGeom>
                        <a:solidFill>
                          <a:schemeClr val="bg1">
                            <a:lumMod val="75000"/>
                            <a:alpha val="40000"/>
                          </a:schemeClr>
                        </a:solidFill>
                        <a:ln w="254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 o:spid="_x0000_s1026" style="position:absolute;margin-left:-9.75pt;margin-top:21.6pt;width:470.25pt;height:439.5pt;z-index:-250600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" fillcolor="#bfbfbf [2412]" strokecolor="#002060" strokeweight="2pt">
                <v:fill opacity="26214f"/>
                <w10:wrap anchorx="margin"/>
              </v:rect>
            </w:pict>
          </mc:Fallback>
        </mc:AlternateContent>
      </w:r>
      <w:r>
        <w:rPr>
          <w:b/>
          <w:noProof/>
          <w:lang w:eastAsia="en-AU"/>
        </w:rPr>
        <w:drawing>
          <wp:anchor distT="0" distB="0" distL="114300" distR="114300" simplePos="0" relativeHeight="252717056" behindDoc="0" locked="0" layoutInCell="1" allowOverlap="1" wp14:anchorId="35BF22F0" wp14:editId="4F25EFBE">
            <wp:simplePos x="0" y="0"/>
            <wp:positionH relativeFrom="margin">
              <wp:posOffset>0</wp:posOffset>
            </wp:positionH>
            <wp:positionV relativeFrom="paragraph">
              <wp:posOffset>368935</wp:posOffset>
            </wp:positionV>
            <wp:extent cx="638810" cy="638810"/>
            <wp:effectExtent l="0" t="0" r="8890" b="889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8810" cy="638810"/>
                    </a:xfrm>
                    <a:prstGeom prst="rect">
                      <a:avLst/>
                    </a:prstGeom>
                  </pic:spPr>
                </pic:pic>
              </a:graphicData>
            </a:graphic>
            <wp14:sizeRelH relativeFrom="page">
              <wp14:pctWidth>0</wp14:pctWidth>
            </wp14:sizeRelH>
            <wp14:sizeRelV relativeFrom="page">
              <wp14:pctHeight>0</wp14:pctHeight>
            </wp14:sizeRelV>
          </wp:anchor>
        </w:drawing>
      </w:r>
    </w:p>
    <w:p w14:paraId="08C99DE6" w14:textId="0B9F569D" w:rsidR="00A71705" w:rsidRDefault="008F7BF8" w:rsidP="00A71705">
      <w:pPr>
        <w:spacing w:before="480" w:after="600"/>
        <w:ind w:firstLine="1276"/>
        <w:jc w:val="both"/>
        <w:rPr>
          <w:b/>
        </w:rPr>
      </w:pPr>
      <w:r>
        <w:rPr>
          <w:noProof/>
          <w:lang w:eastAsia="en-AU"/>
        </w:rPr>
        <mc:AlternateContent>
          <mc:Choice Requires="wps">
            <w:drawing>
              <wp:anchor distT="0" distB="0" distL="114300" distR="114300" simplePos="0" relativeHeight="252724224" behindDoc="0" locked="0" layoutInCell="1" allowOverlap="1" wp14:anchorId="35F298CB" wp14:editId="44F67C36">
                <wp:simplePos x="0" y="0"/>
                <wp:positionH relativeFrom="column">
                  <wp:posOffset>2838450</wp:posOffset>
                </wp:positionH>
                <wp:positionV relativeFrom="paragraph">
                  <wp:posOffset>118110</wp:posOffset>
                </wp:positionV>
                <wp:extent cx="0" cy="5133975"/>
                <wp:effectExtent l="0" t="0" r="19050" b="9525"/>
                <wp:wrapNone/>
                <wp:docPr id="304" name="Straight Connector 304"/>
                <wp:cNvGraphicFramePr/>
                <a:graphic xmlns:a="http://schemas.openxmlformats.org/drawingml/2006/main">
                  <a:graphicData uri="http://schemas.microsoft.com/office/word/2010/wordprocessingShape">
                    <wps:wsp>
                      <wps:cNvCnPr/>
                      <wps:spPr>
                        <a:xfrm>
                          <a:off x="0" y="0"/>
                          <a:ext cx="0" cy="5133975"/>
                        </a:xfrm>
                        <a:prstGeom prst="line">
                          <a:avLst/>
                        </a:prstGeom>
                        <a:ln>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304" o:spid="_x0000_s1026" style="position:absolute;z-index:252724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3.5pt,9.3pt" to="223.5pt,4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" strokecolor="#002060"/>
            </w:pict>
          </mc:Fallback>
        </mc:AlternateContent>
      </w:r>
      <w:r w:rsidR="00A71705">
        <w:rPr>
          <w:b/>
        </w:rPr>
        <w:t>CASE STUDY</w:t>
      </w:r>
      <w:r w:rsidR="00A71705">
        <w:rPr>
          <w:b/>
          <w:noProof/>
          <w:lang w:eastAsia="en-AU"/>
        </w:rPr>
        <w:t xml:space="preserve"> </w:t>
      </w:r>
    </w:p>
    <w:p w14:paraId="4589850D" w14:textId="77777777" w:rsidR="00A71705" w:rsidRPr="000222EE" w:rsidRDefault="00A71705" w:rsidP="00A71705">
      <w:pPr>
        <w:rPr>
          <w:b/>
          <w:i/>
        </w:rPr>
      </w:pPr>
      <w:r w:rsidRPr="000222EE">
        <w:rPr>
          <w:b/>
          <w:i/>
        </w:rPr>
        <w:t>Hospital improves informed consent processes for patients undergoing iron infusions</w:t>
      </w:r>
    </w:p>
    <w:p w14:paraId="4597F469" w14:textId="77777777" w:rsidR="001C4EA2" w:rsidRDefault="001C4EA2" w:rsidP="00E13003">
      <w:pPr>
        <w:spacing w:before="120"/>
      </w:pPr>
      <w:bookmarkStart w:id="15" w:name="_Toc459621642"/>
      <w:r>
        <w:t>An individual contacted HaDSCO when they sustained permanent staining of the arm following an iron infusion procedure.</w:t>
      </w:r>
    </w:p>
    <w:p w14:paraId="71883AE1" w14:textId="77777777" w:rsidR="001C4EA2" w:rsidRDefault="001C4EA2" w:rsidP="00E13003">
      <w:pPr>
        <w:spacing w:before="120"/>
      </w:pPr>
      <w:r>
        <w:t xml:space="preserve">The complaint was initially raised with the health service provider who apologised for the complication the individual experienced. The health service provider offered ultrasound treatment, however this was declined on the basis that it was not considered to be an effective treatment option to rectify the staining. </w:t>
      </w:r>
    </w:p>
    <w:p w14:paraId="66EA166B" w14:textId="7D750FB9" w:rsidR="001C4EA2" w:rsidRDefault="001C4EA2" w:rsidP="00E13003">
      <w:pPr>
        <w:spacing w:before="120"/>
      </w:pPr>
      <w:r>
        <w:t xml:space="preserve">HaDSCO reviewed the complaint and made further enquiries with the service provider. The enquiries related to the information provided to patients undergoing iron infusion procedures and action taken to improve these procedures. HaDSCO’s enquiries </w:t>
      </w:r>
      <w:r w:rsidR="00E13003">
        <w:br/>
      </w:r>
      <w:r w:rsidR="00D95E24">
        <w:t>showed that the health service</w:t>
      </w:r>
      <w:r w:rsidR="00D16EC4">
        <w:br/>
      </w:r>
      <w:r w:rsidR="00D16EC4">
        <w:br/>
      </w:r>
      <w:r w:rsidR="00D16EC4">
        <w:br/>
      </w:r>
      <w:r w:rsidR="00D16EC4">
        <w:lastRenderedPageBreak/>
        <w:br/>
      </w:r>
      <w:r w:rsidR="00D16EC4">
        <w:br/>
      </w:r>
      <w:r w:rsidR="00E13003">
        <w:t>provider had documented the matter</w:t>
      </w:r>
      <w:r w:rsidR="00E13003">
        <w:br/>
      </w:r>
      <w:r>
        <w:t xml:space="preserve">as a clinical incident and had commenced a review of its procedures. As a result of its investigation, the service provider identified several improvements to procedures and practice. </w:t>
      </w:r>
    </w:p>
    <w:p w14:paraId="3D6AFFF5" w14:textId="71AE36F3" w:rsidR="001C4EA2" w:rsidRDefault="001C4EA2" w:rsidP="00A52D3E">
      <w:pPr>
        <w:spacing w:before="120"/>
      </w:pPr>
      <w:r>
        <w:t>HaDSCO identified that the informed consent process could be improved to ensure that patients were adequately informed of the material risks associated with the procedure. As a result of HaDSCO’s involvement the</w:t>
      </w:r>
      <w:r w:rsidRPr="00B819B4">
        <w:t xml:space="preserve"> </w:t>
      </w:r>
      <w:r>
        <w:t>health service provider developed a specific consent form for iron infusions which details the material risks associated with the procedure; and finalised the process for documenting the regular inspection of the cannula site during the administration of an iron infusion</w:t>
      </w:r>
      <w:r w:rsidR="00A52D3E">
        <w:t>.</w:t>
      </w:r>
    </w:p>
    <w:p w14:paraId="21E62FFF" w14:textId="39A5F41E" w:rsidR="0041542C" w:rsidRDefault="001C4EA2" w:rsidP="00A52D3E">
      <w:pPr>
        <w:spacing w:before="120"/>
        <w:rPr>
          <w:color w:val="004B8D"/>
          <w:szCs w:val="22"/>
        </w:rPr>
      </w:pPr>
      <w:r>
        <w:t xml:space="preserve">This case also resulted in broader improvements whereby Medical Directors across public and private sector hospitals were advised of the issue and </w:t>
      </w:r>
      <w:r w:rsidR="00A52D3E">
        <w:t xml:space="preserve">reminded </w:t>
      </w:r>
      <w:r>
        <w:t xml:space="preserve">to ensure that staff </w:t>
      </w:r>
      <w:r w:rsidR="00A52D3E">
        <w:t>were</w:t>
      </w:r>
      <w:r>
        <w:t xml:space="preserve"> aware </w:t>
      </w:r>
      <w:r w:rsidR="00A52D3E">
        <w:t>of the matter</w:t>
      </w:r>
      <w:r>
        <w:t xml:space="preserve"> and </w:t>
      </w:r>
      <w:r w:rsidR="00A52D3E">
        <w:t>encouraged to review</w:t>
      </w:r>
      <w:r>
        <w:t xml:space="preserve"> organisational policies.</w:t>
      </w:r>
    </w:p>
    <w:p w14:paraId="475C0D5A" w14:textId="77777777" w:rsidR="001C4EA2" w:rsidRDefault="001C4EA2" w:rsidP="002B366F">
      <w:pPr>
        <w:rPr>
          <w:color w:val="004B8D"/>
          <w:szCs w:val="22"/>
        </w:rPr>
        <w:sectPr w:rsidR="001C4EA2" w:rsidSect="00F7633C">
          <w:type w:val="continuous"/>
          <w:pgSz w:w="11907" w:h="16840" w:code="9"/>
          <w:pgMar w:top="1134" w:right="1440" w:bottom="1440" w:left="1440" w:header="720" w:footer="709" w:gutter="0"/>
          <w:cols w:num="2" w:space="720"/>
          <w:titlePg/>
          <w:docGrid w:linePitch="326"/>
        </w:sectPr>
      </w:pPr>
    </w:p>
    <w:bookmarkEnd w:id="15"/>
    <w:p w14:paraId="262273B6" w14:textId="68AEEE95" w:rsidR="001C4EA2" w:rsidRPr="00E13003" w:rsidRDefault="00E76E6D" w:rsidP="00E13003">
      <w:pPr>
        <w:spacing w:line="276" w:lineRule="auto"/>
        <w:rPr>
          <w:rFonts w:eastAsiaTheme="majorEastAsia" w:cstheme="majorBidi"/>
          <w:b/>
          <w:bCs/>
          <w:iCs/>
          <w:color w:val="033349"/>
          <w:sz w:val="16"/>
          <w:szCs w:val="16"/>
        </w:rPr>
      </w:pPr>
      <w:r w:rsidRPr="00E13003">
        <w:rPr>
          <w:b/>
          <w:noProof/>
          <w:color w:val="2487C4"/>
          <w:lang w:eastAsia="en-AU"/>
        </w:rPr>
        <w:lastRenderedPageBreak/>
        <mc:AlternateContent>
          <mc:Choice Requires="wps">
            <w:drawing>
              <wp:anchor distT="0" distB="0" distL="114300" distR="114300" simplePos="0" relativeHeight="252389376" behindDoc="0" locked="0" layoutInCell="1" allowOverlap="1" wp14:anchorId="42D6229B" wp14:editId="2BFA64A2">
                <wp:simplePos x="0" y="0"/>
                <wp:positionH relativeFrom="margin">
                  <wp:align>center</wp:align>
                </wp:positionH>
                <wp:positionV relativeFrom="margin">
                  <wp:align>top</wp:align>
                </wp:positionV>
                <wp:extent cx="5749925" cy="795020"/>
                <wp:effectExtent l="19050" t="19050" r="22225" b="24130"/>
                <wp:wrapSquare wrapText="bothSides"/>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795020"/>
                        </a:xfrm>
                        <a:prstGeom prst="rect">
                          <a:avLst/>
                        </a:prstGeom>
                        <a:solidFill>
                          <a:schemeClr val="bg1">
                            <a:lumMod val="85000"/>
                          </a:schemeClr>
                        </a:solidFill>
                        <a:ln w="38100">
                          <a:solidFill>
                            <a:schemeClr val="bg1">
                              <a:lumMod val="50000"/>
                            </a:schemeClr>
                          </a:solidFill>
                          <a:miter lim="800000"/>
                          <a:headEnd/>
                          <a:tailEnd/>
                        </a:ln>
                      </wps:spPr>
                      <wps:txbx>
                        <w:txbxContent>
                          <w:p w14:paraId="04F1553F" w14:textId="77777777" w:rsidR="00A03A05" w:rsidRDefault="00A03A05" w:rsidP="0027075B">
                            <w:pPr>
                              <w:pStyle w:val="Heading2"/>
                              <w:ind w:left="574"/>
                              <w:jc w:val="center"/>
                            </w:pPr>
                            <w:bookmarkStart w:id="16" w:name="_Toc492895230"/>
                          </w:p>
                          <w:p w14:paraId="395FFFF8" w14:textId="77777777" w:rsidR="00A03A05" w:rsidRPr="0050678C" w:rsidRDefault="00A03A05" w:rsidP="0027075B">
                            <w:pPr>
                              <w:pStyle w:val="Heading2"/>
                              <w:ind w:left="574"/>
                              <w:jc w:val="center"/>
                              <w:rPr>
                                <w:color w:val="04356B"/>
                              </w:rPr>
                            </w:pPr>
                            <w:bookmarkStart w:id="17" w:name="_Toc493506748"/>
                            <w:bookmarkStart w:id="18" w:name="_Toc517683944"/>
                            <w:bookmarkStart w:id="19" w:name="_Toc517701977"/>
                            <w:bookmarkStart w:id="20" w:name="_Toc522094794"/>
                            <w:bookmarkStart w:id="21" w:name="_Toc522103445"/>
                            <w:bookmarkStart w:id="22" w:name="_Toc522276073"/>
                            <w:r w:rsidRPr="0050678C">
                              <w:rPr>
                                <w:color w:val="04356B"/>
                              </w:rPr>
                              <w:t>2.4. Complaints about health services</w:t>
                            </w:r>
                            <w:bookmarkEnd w:id="16"/>
                            <w:bookmarkEnd w:id="17"/>
                            <w:bookmarkEnd w:id="18"/>
                            <w:bookmarkEnd w:id="19"/>
                            <w:bookmarkEnd w:id="20"/>
                            <w:bookmarkEnd w:id="21"/>
                            <w:bookmarkEnd w:id="22"/>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margin-left:0;margin-top:0;width:452.75pt;height:62.6pt;z-index:252389376;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" fillcolor="#d8d8d8 [2732]" strokecolor="#7f7f7f [1612]" strokeweight="3pt">
                <v:textbox>
                  <w:txbxContent>
                    <w:p w14:paraId="04F1553F" w14:textId="77777777" w:rsidR="00A03A05" w:rsidRDefault="00A03A05" w:rsidP="0027075B">
                      <w:pPr>
                        <w:pStyle w:val="Heading2"/>
                        <w:ind w:left="574"/>
                        <w:jc w:val="center"/>
                      </w:pPr>
                      <w:bookmarkStart w:id="51" w:name="_Toc492895230"/>
                    </w:p>
                    <w:p w14:paraId="395FFFF8" w14:textId="77777777" w:rsidR="00A03A05" w:rsidRPr="0050678C" w:rsidRDefault="00A03A05" w:rsidP="0027075B">
                      <w:pPr>
                        <w:pStyle w:val="Heading2"/>
                        <w:ind w:left="574"/>
                        <w:jc w:val="center"/>
                        <w:rPr>
                          <w:color w:val="04356B"/>
                        </w:rPr>
                      </w:pPr>
                      <w:bookmarkStart w:id="52" w:name="_Toc493506748"/>
                      <w:bookmarkStart w:id="53" w:name="_Toc517683944"/>
                      <w:bookmarkStart w:id="54" w:name="_Toc517701977"/>
                      <w:bookmarkStart w:id="55" w:name="_Toc522094794"/>
                      <w:bookmarkStart w:id="56" w:name="_Toc522103445"/>
                      <w:bookmarkStart w:id="57" w:name="_Toc522276073"/>
                      <w:r w:rsidRPr="0050678C">
                        <w:rPr>
                          <w:color w:val="04356B"/>
                        </w:rPr>
                        <w:t>2.4. Complaints about health services</w:t>
                      </w:r>
                      <w:bookmarkEnd w:id="51"/>
                      <w:bookmarkEnd w:id="52"/>
                      <w:bookmarkEnd w:id="53"/>
                      <w:bookmarkEnd w:id="54"/>
                      <w:bookmarkEnd w:id="55"/>
                      <w:bookmarkEnd w:id="56"/>
                      <w:bookmarkEnd w:id="57"/>
                    </w:p>
                  </w:txbxContent>
                </v:textbox>
                <w10:wrap type="square" anchorx="margin" anchory="margin"/>
              </v:shape>
            </w:pict>
          </mc:Fallback>
        </mc:AlternateContent>
      </w:r>
      <w:bookmarkStart w:id="23" w:name="_Toc493506749"/>
      <w:bookmarkStart w:id="24" w:name="_Toc516727389"/>
      <w:bookmarkStart w:id="25" w:name="_Toc522094795"/>
    </w:p>
    <w:p w14:paraId="5D146174" w14:textId="4D21D62E" w:rsidR="0024411F" w:rsidRPr="00916024" w:rsidRDefault="0024411F" w:rsidP="0024411F">
      <w:pPr>
        <w:pStyle w:val="Heading3"/>
        <w:rPr>
          <w:color w:val="033349"/>
          <w:sz w:val="28"/>
        </w:rPr>
      </w:pPr>
      <w:r w:rsidRPr="00917FE9">
        <w:rPr>
          <w:color w:val="033349"/>
          <w:sz w:val="28"/>
        </w:rPr>
        <w:t>HaDSCO complaints data</w:t>
      </w:r>
      <w:bookmarkEnd w:id="23"/>
      <w:bookmarkEnd w:id="24"/>
      <w:bookmarkEnd w:id="25"/>
      <w:r w:rsidRPr="00916024">
        <w:rPr>
          <w:color w:val="033349"/>
          <w:sz w:val="28"/>
        </w:rPr>
        <w:t xml:space="preserve"> </w:t>
      </w:r>
    </w:p>
    <w:p w14:paraId="71EB79CD" w14:textId="77777777" w:rsidR="0024411F" w:rsidRPr="00CB1C88" w:rsidRDefault="0024411F" w:rsidP="0024411F"/>
    <w:p w14:paraId="22D22777" w14:textId="77777777" w:rsidR="00CB1C88" w:rsidRPr="00EC0340" w:rsidRDefault="00CB1C88" w:rsidP="00CB1C88">
      <w:r>
        <w:t>HaDSCO received 1,853</w:t>
      </w:r>
      <w:r w:rsidRPr="00EC0340">
        <w:t xml:space="preserve"> complaints a</w:t>
      </w:r>
      <w:r>
        <w:t>bout health services in the 2017-18</w:t>
      </w:r>
      <w:r w:rsidRPr="00EC0340">
        <w:t xml:space="preserve"> financial year. </w:t>
      </w:r>
      <w:r>
        <w:t>This represents a 1</w:t>
      </w:r>
      <w:r w:rsidRPr="00EC0340">
        <w:t>% increase compared to</w:t>
      </w:r>
      <w:r>
        <w:t xml:space="preserve"> 2016-17</w:t>
      </w:r>
      <w:r w:rsidRPr="00EC0340">
        <w:t>. HaDSCO closed 1,</w:t>
      </w:r>
      <w:r>
        <w:t xml:space="preserve">894 </w:t>
      </w:r>
      <w:r w:rsidRPr="00EC0340">
        <w:t>complaints about</w:t>
      </w:r>
      <w:r>
        <w:t xml:space="preserve"> health services in 2017-18, a 2% de</w:t>
      </w:r>
      <w:r w:rsidRPr="00EC0340">
        <w:t>crease compa</w:t>
      </w:r>
      <w:r>
        <w:t>red to 2016-17</w:t>
      </w:r>
      <w:r w:rsidRPr="00EC0340">
        <w:t xml:space="preserve">. </w:t>
      </w:r>
    </w:p>
    <w:p w14:paraId="7340CB28" w14:textId="77777777" w:rsidR="00CB1C88" w:rsidRDefault="00CB1C88" w:rsidP="00CB1C88"/>
    <w:p w14:paraId="17BEBB73" w14:textId="73DC7C0D" w:rsidR="00CB1C88" w:rsidRPr="0085760F" w:rsidRDefault="00CB1C88" w:rsidP="00CB1C88">
      <w:r>
        <w:t>Figure 7</w:t>
      </w:r>
      <w:r w:rsidRPr="0085760F">
        <w:t xml:space="preserve"> details the number of complaints about health services received and closed by HaDSCO </w:t>
      </w:r>
      <w:r>
        <w:t>over the past three years</w:t>
      </w:r>
      <w:r w:rsidRPr="0085760F">
        <w:t xml:space="preserve">. The number of complaints, both received and closed, has </w:t>
      </w:r>
      <w:r w:rsidR="00AE5D3A">
        <w:t>increased from</w:t>
      </w:r>
      <w:r>
        <w:t xml:space="preserve"> 2015-16</w:t>
      </w:r>
      <w:r w:rsidR="00AE5D3A">
        <w:t xml:space="preserve"> to 2017-18</w:t>
      </w:r>
      <w:r w:rsidRPr="0085760F">
        <w:t>.</w:t>
      </w:r>
    </w:p>
    <w:p w14:paraId="0B29FAE1" w14:textId="77777777" w:rsidR="00CB1C88" w:rsidRPr="0085760F" w:rsidRDefault="00CB1C88" w:rsidP="00CB1C88"/>
    <w:p w14:paraId="648A43E1" w14:textId="32D21B40" w:rsidR="00CB1C88" w:rsidRDefault="00CB1C88" w:rsidP="00CB1C88">
      <w:pPr>
        <w:pStyle w:val="Normal-L3"/>
        <w:spacing w:line="276" w:lineRule="auto"/>
        <w:ind w:left="567"/>
        <w:rPr>
          <w:rFonts w:eastAsiaTheme="majorEastAsia" w:cstheme="majorBidi"/>
          <w:b/>
          <w:bCs/>
          <w:color w:val="000000" w:themeColor="text1"/>
          <w:szCs w:val="24"/>
        </w:rPr>
      </w:pPr>
      <w:r w:rsidRPr="0085760F">
        <w:rPr>
          <w:rFonts w:eastAsiaTheme="majorEastAsia" w:cstheme="majorBidi"/>
          <w:b/>
          <w:bCs/>
          <w:color w:val="000000" w:themeColor="text1"/>
          <w:szCs w:val="24"/>
        </w:rPr>
        <w:t xml:space="preserve">Figure </w:t>
      </w:r>
      <w:r>
        <w:rPr>
          <w:rFonts w:eastAsiaTheme="majorEastAsia" w:cstheme="majorBidi"/>
          <w:b/>
          <w:bCs/>
          <w:color w:val="000000" w:themeColor="text1"/>
          <w:szCs w:val="24"/>
        </w:rPr>
        <w:t>7</w:t>
      </w:r>
      <w:r w:rsidRPr="0085760F">
        <w:rPr>
          <w:rFonts w:eastAsiaTheme="majorEastAsia" w:cstheme="majorBidi"/>
          <w:b/>
          <w:bCs/>
          <w:color w:val="000000" w:themeColor="text1"/>
          <w:szCs w:val="24"/>
        </w:rPr>
        <w:t>: Complaints</w:t>
      </w:r>
      <w:r>
        <w:rPr>
          <w:rFonts w:eastAsiaTheme="majorEastAsia" w:cstheme="majorBidi"/>
          <w:b/>
          <w:bCs/>
          <w:color w:val="000000" w:themeColor="text1"/>
          <w:szCs w:val="24"/>
        </w:rPr>
        <w:t xml:space="preserve"> about health services </w:t>
      </w:r>
    </w:p>
    <w:p w14:paraId="275B0D25" w14:textId="77777777" w:rsidR="00CB1C88" w:rsidRDefault="00CB1C88" w:rsidP="00CB1C88">
      <w:pPr>
        <w:pStyle w:val="Normal-L3"/>
        <w:spacing w:line="276" w:lineRule="auto"/>
        <w:jc w:val="center"/>
        <w:rPr>
          <w:rFonts w:eastAsiaTheme="majorEastAsia" w:cstheme="majorBidi"/>
          <w:b/>
          <w:bCs/>
          <w:color w:val="000000" w:themeColor="text1"/>
          <w:szCs w:val="24"/>
        </w:rPr>
      </w:pPr>
      <w:r>
        <w:rPr>
          <w:rFonts w:eastAsiaTheme="majorEastAsia" w:cstheme="majorBidi"/>
          <w:b/>
          <w:bCs/>
          <w:noProof/>
          <w:color w:val="000000" w:themeColor="text1"/>
          <w:szCs w:val="24"/>
          <w:lang w:eastAsia="en-AU"/>
        </w:rPr>
        <w:drawing>
          <wp:inline distT="0" distB="0" distL="0" distR="0" wp14:anchorId="51309B56" wp14:editId="50C41346">
            <wp:extent cx="5112000" cy="2700000"/>
            <wp:effectExtent l="0" t="0" r="12700" b="2476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B140853" w14:textId="77777777" w:rsidR="00CB1C88" w:rsidRDefault="00CB1C88" w:rsidP="00CB1C88">
      <w:pPr>
        <w:pStyle w:val="Normal-L3"/>
        <w:spacing w:line="276" w:lineRule="auto"/>
        <w:rPr>
          <w:rFonts w:eastAsiaTheme="majorEastAsia" w:cstheme="majorBidi"/>
          <w:b/>
          <w:bCs/>
          <w:color w:val="000000" w:themeColor="text1"/>
          <w:szCs w:val="24"/>
        </w:rPr>
      </w:pPr>
    </w:p>
    <w:p w14:paraId="7A9047B8" w14:textId="77777777" w:rsidR="00CB1C88" w:rsidRDefault="00CB1C88" w:rsidP="00BF5773">
      <w:r>
        <w:t xml:space="preserve">The following section provides a more detailed breakdown of the complaints about health services closed by HaDSCO over the past three financial years. </w:t>
      </w:r>
    </w:p>
    <w:p w14:paraId="6AB18CE5" w14:textId="77777777" w:rsidR="004D6E4E" w:rsidRDefault="004D6E4E" w:rsidP="00BF5773">
      <w:pPr>
        <w:sectPr w:rsidR="004D6E4E" w:rsidSect="00CB1C88">
          <w:headerReference w:type="even" r:id="rId22"/>
          <w:headerReference w:type="default" r:id="rId23"/>
          <w:footerReference w:type="default" r:id="rId24"/>
          <w:headerReference w:type="first" r:id="rId25"/>
          <w:footerReference w:type="first" r:id="rId26"/>
          <w:type w:val="continuous"/>
          <w:pgSz w:w="11907" w:h="16840" w:code="9"/>
          <w:pgMar w:top="1134" w:right="1440" w:bottom="1440" w:left="1440" w:header="720" w:footer="709" w:gutter="0"/>
          <w:cols w:sep="1" w:space="720"/>
          <w:titlePg/>
          <w:docGrid w:linePitch="326"/>
        </w:sectPr>
      </w:pPr>
    </w:p>
    <w:p w14:paraId="4E23D83A" w14:textId="66271724" w:rsidR="004D6E4E" w:rsidRDefault="00B343AE" w:rsidP="00BF5773">
      <w:r>
        <w:rPr>
          <w:noProof/>
          <w:lang w:eastAsia="en-AU"/>
        </w:rPr>
        <w:lastRenderedPageBreak/>
        <mc:AlternateContent>
          <mc:Choice Requires="wps">
            <w:drawing>
              <wp:anchor distT="0" distB="0" distL="114300" distR="114300" simplePos="0" relativeHeight="252740608" behindDoc="0" locked="0" layoutInCell="1" allowOverlap="1" wp14:anchorId="4D867629" wp14:editId="62EF2E8E">
                <wp:simplePos x="0" y="0"/>
                <wp:positionH relativeFrom="column">
                  <wp:posOffset>2914022</wp:posOffset>
                </wp:positionH>
                <wp:positionV relativeFrom="paragraph">
                  <wp:posOffset>136825</wp:posOffset>
                </wp:positionV>
                <wp:extent cx="0" cy="5074418"/>
                <wp:effectExtent l="0" t="0" r="19050" b="12065"/>
                <wp:wrapNone/>
                <wp:docPr id="110" name="Straight Connector 110"/>
                <wp:cNvGraphicFramePr/>
                <a:graphic xmlns:a="http://schemas.openxmlformats.org/drawingml/2006/main">
                  <a:graphicData uri="http://schemas.microsoft.com/office/word/2010/wordprocessingShape">
                    <wps:wsp>
                      <wps:cNvCnPr/>
                      <wps:spPr>
                        <a:xfrm>
                          <a:off x="0" y="0"/>
                          <a:ext cx="0" cy="5074418"/>
                        </a:xfrm>
                        <a:prstGeom prst="line">
                          <a:avLst/>
                        </a:prstGeom>
                        <a:ln>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110" o:spid="_x0000_s1026" style="position:absolute;z-index:252740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9.45pt,10.75pt" to="229.45pt,4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" strokecolor="#002060"/>
            </w:pict>
          </mc:Fallback>
        </mc:AlternateContent>
      </w:r>
      <w:r w:rsidR="00DB24DF" w:rsidRPr="00DB24DF">
        <w:rPr>
          <w:b/>
          <w:noProof/>
          <w:lang w:eastAsia="en-AU"/>
        </w:rPr>
        <mc:AlternateContent>
          <mc:Choice Requires="wps">
            <w:drawing>
              <wp:anchor distT="0" distB="0" distL="114300" distR="114300" simplePos="0" relativeHeight="252734464" behindDoc="1" locked="0" layoutInCell="1" allowOverlap="1" wp14:anchorId="12E16E1E" wp14:editId="16B14EB6">
                <wp:simplePos x="0" y="0"/>
                <wp:positionH relativeFrom="margin">
                  <wp:posOffset>-80211</wp:posOffset>
                </wp:positionH>
                <wp:positionV relativeFrom="paragraph">
                  <wp:posOffset>42512</wp:posOffset>
                </wp:positionV>
                <wp:extent cx="5968365" cy="5293894"/>
                <wp:effectExtent l="0" t="0" r="13335" b="21590"/>
                <wp:wrapNone/>
                <wp:docPr id="106" name="Rectangle 106"/>
                <wp:cNvGraphicFramePr/>
                <a:graphic xmlns:a="http://schemas.openxmlformats.org/drawingml/2006/main">
                  <a:graphicData uri="http://schemas.microsoft.com/office/word/2010/wordprocessingShape">
                    <wps:wsp>
                      <wps:cNvSpPr/>
                      <wps:spPr>
                        <a:xfrm>
                          <a:off x="0" y="0"/>
                          <a:ext cx="5968365" cy="5293894"/>
                        </a:xfrm>
                        <a:prstGeom prst="rect">
                          <a:avLst/>
                        </a:prstGeom>
                        <a:solidFill>
                          <a:schemeClr val="bg1">
                            <a:lumMod val="75000"/>
                            <a:alpha val="40000"/>
                          </a:schemeClr>
                        </a:solidFill>
                        <a:ln w="254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6" o:spid="_x0000_s1026" style="position:absolute;margin-left:-6.3pt;margin-top:3.35pt;width:469.95pt;height:416.85pt;z-index:-250582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" fillcolor="#bfbfbf [2412]" strokecolor="#002060" strokeweight="2pt">
                <v:fill opacity="26214f"/>
                <w10:wrap anchorx="margin"/>
              </v:rect>
            </w:pict>
          </mc:Fallback>
        </mc:AlternateContent>
      </w:r>
      <w:r w:rsidR="00DB24DF" w:rsidRPr="00DB24DF">
        <w:rPr>
          <w:b/>
          <w:noProof/>
          <w:lang w:eastAsia="en-AU"/>
        </w:rPr>
        <w:drawing>
          <wp:anchor distT="0" distB="0" distL="114300" distR="114300" simplePos="0" relativeHeight="252735488" behindDoc="0" locked="0" layoutInCell="1" allowOverlap="1" wp14:anchorId="526E8BDD" wp14:editId="61834BB6">
            <wp:simplePos x="0" y="0"/>
            <wp:positionH relativeFrom="margin">
              <wp:posOffset>15875</wp:posOffset>
            </wp:positionH>
            <wp:positionV relativeFrom="paragraph">
              <wp:posOffset>138430</wp:posOffset>
            </wp:positionV>
            <wp:extent cx="625475" cy="591820"/>
            <wp:effectExtent l="0" t="0" r="3175"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25475" cy="591820"/>
                    </a:xfrm>
                    <a:prstGeom prst="rect">
                      <a:avLst/>
                    </a:prstGeom>
                  </pic:spPr>
                </pic:pic>
              </a:graphicData>
            </a:graphic>
            <wp14:sizeRelH relativeFrom="page">
              <wp14:pctWidth>0</wp14:pctWidth>
            </wp14:sizeRelH>
            <wp14:sizeRelV relativeFrom="page">
              <wp14:pctHeight>0</wp14:pctHeight>
            </wp14:sizeRelV>
          </wp:anchor>
        </w:drawing>
      </w:r>
    </w:p>
    <w:p w14:paraId="737A1604" w14:textId="77777777" w:rsidR="00DB24DF" w:rsidRDefault="00DB24DF" w:rsidP="004D6E4E">
      <w:pPr>
        <w:ind w:firstLine="1276"/>
        <w:jc w:val="both"/>
        <w:rPr>
          <w:b/>
        </w:rPr>
        <w:sectPr w:rsidR="00DB24DF" w:rsidSect="004D6E4E">
          <w:pgSz w:w="11907" w:h="16840" w:code="9"/>
          <w:pgMar w:top="1134" w:right="1440" w:bottom="1440" w:left="1440" w:header="720" w:footer="709" w:gutter="0"/>
          <w:cols w:num="2" w:sep="1" w:space="720"/>
          <w:titlePg/>
          <w:docGrid w:linePitch="326"/>
        </w:sectPr>
      </w:pPr>
    </w:p>
    <w:p w14:paraId="309E2197" w14:textId="5DE9A71A" w:rsidR="004D6E4E" w:rsidRDefault="004D6E4E" w:rsidP="004D6E4E">
      <w:pPr>
        <w:ind w:firstLine="1276"/>
        <w:jc w:val="both"/>
        <w:rPr>
          <w:b/>
        </w:rPr>
      </w:pPr>
    </w:p>
    <w:p w14:paraId="3D7B60B1" w14:textId="77777777" w:rsidR="004D6E4E" w:rsidRDefault="004D6E4E" w:rsidP="004D6E4E">
      <w:pPr>
        <w:spacing w:after="480"/>
        <w:ind w:firstLine="1276"/>
        <w:jc w:val="both"/>
        <w:rPr>
          <w:b/>
        </w:rPr>
      </w:pPr>
      <w:r>
        <w:rPr>
          <w:b/>
        </w:rPr>
        <w:t>CASE STUDY</w:t>
      </w:r>
    </w:p>
    <w:p w14:paraId="4139410A" w14:textId="77777777" w:rsidR="004D6E4E" w:rsidRPr="00E002DF" w:rsidRDefault="004D6E4E" w:rsidP="004D6E4E">
      <w:pPr>
        <w:rPr>
          <w:b/>
          <w:i/>
        </w:rPr>
      </w:pPr>
      <w:r w:rsidRPr="00E002DF">
        <w:rPr>
          <w:b/>
          <w:i/>
        </w:rPr>
        <w:t>Hospital agrees to amend their manual to clarify eligibility for Medicare benefits under the Reciprocal Health Care Agreement with New Zealand</w:t>
      </w:r>
    </w:p>
    <w:p w14:paraId="4C80F533" w14:textId="26E31BEC" w:rsidR="004D6E4E" w:rsidRDefault="004D6E4E" w:rsidP="00DB24DF">
      <w:pPr>
        <w:spacing w:before="120"/>
      </w:pPr>
      <w:r w:rsidRPr="00CA6C5C">
        <w:t>A</w:t>
      </w:r>
      <w:r>
        <w:t>n individual</w:t>
      </w:r>
      <w:r w:rsidRPr="00CA6C5C">
        <w:t xml:space="preserve"> </w:t>
      </w:r>
      <w:r>
        <w:t xml:space="preserve">was admitted to a public hospital for treatment. </w:t>
      </w:r>
      <w:r w:rsidR="00FB6B76">
        <w:t>They were</w:t>
      </w:r>
      <w:r>
        <w:t xml:space="preserve"> classified as an overseas patient and was informed of the costs for accommodation and treatment. The individual’s private health insurance covered part of the fees, however, the patient was left with considerable out of pocket expenses. </w:t>
      </w:r>
    </w:p>
    <w:p w14:paraId="0A4B73D5" w14:textId="191CB947" w:rsidR="004D6E4E" w:rsidRDefault="004D6E4E" w:rsidP="00DB24DF">
      <w:pPr>
        <w:spacing w:before="120"/>
      </w:pPr>
      <w:r>
        <w:t xml:space="preserve">The individual complained to the health service provider regarding </w:t>
      </w:r>
      <w:r w:rsidR="001659B0">
        <w:t>her</w:t>
      </w:r>
      <w:r>
        <w:t xml:space="preserve"> eligibility to be covered by Medicare under the </w:t>
      </w:r>
      <w:r w:rsidRPr="006B1AF9">
        <w:rPr>
          <w:i/>
        </w:rPr>
        <w:t xml:space="preserve">Reciprocal Health Care Agreement </w:t>
      </w:r>
      <w:r>
        <w:t xml:space="preserve">(RHCA) </w:t>
      </w:r>
      <w:r w:rsidRPr="00CA6C5C">
        <w:t>with New Zealand</w:t>
      </w:r>
      <w:r>
        <w:t>, as a permanent New Zealand resident. Relevant documentary information was given to the service provider to assess the entitlement. The relevant information included an overseas</w:t>
      </w:r>
      <w:r>
        <w:br w:type="column"/>
      </w:r>
      <w:r>
        <w:lastRenderedPageBreak/>
        <w:t>passport with a certificate of identity. The certificate of identity indicated that the certificate expired when a person leaves New Zealand. On this basis, the health service provider declined the patient’s request for the excess costs incurred to be paid by Medicare under the RHCA.</w:t>
      </w:r>
    </w:p>
    <w:p w14:paraId="0BA75EBD" w14:textId="77777777" w:rsidR="004D6E4E" w:rsidRDefault="004D6E4E" w:rsidP="00DB24DF">
      <w:pPr>
        <w:spacing w:before="120"/>
      </w:pPr>
      <w:r>
        <w:t xml:space="preserve">As a result of HaDSCO’s involvement, the service provider agreed to submit the accounts to Medicare to test the individual’s eligibility. It was determined that the individual was eligible to receive Medicare benefits under the RHCA. As a result, the health service provider changed the patient’s account status from </w:t>
      </w:r>
      <w:r w:rsidRPr="006B1AF9">
        <w:rPr>
          <w:i/>
        </w:rPr>
        <w:t>Overseas Visitor</w:t>
      </w:r>
      <w:r>
        <w:t xml:space="preserve"> to </w:t>
      </w:r>
      <w:r w:rsidRPr="006B1AF9">
        <w:rPr>
          <w:i/>
        </w:rPr>
        <w:t>Public Reciprocal</w:t>
      </w:r>
      <w:r>
        <w:t xml:space="preserve"> and the outstanding invoices were adjusted to a nil balance. The service provider also extended an apology to the individual. </w:t>
      </w:r>
    </w:p>
    <w:p w14:paraId="1D2CB58B" w14:textId="37DD9FC3" w:rsidR="004D6E4E" w:rsidRDefault="004D6E4E" w:rsidP="00DB24DF">
      <w:pPr>
        <w:spacing w:before="120"/>
      </w:pPr>
      <w:r>
        <w:t xml:space="preserve">The health service provider agreed to amend </w:t>
      </w:r>
      <w:r w:rsidR="001659B0">
        <w:t>its</w:t>
      </w:r>
      <w:r>
        <w:t xml:space="preserve"> fees manual to clarify that New Zealand non-citizens </w:t>
      </w:r>
      <w:r w:rsidR="001659B0">
        <w:t>who</w:t>
      </w:r>
      <w:r>
        <w:t xml:space="preserve"> have permanent residency in New Zealand are entitled to Medicare benefits under the RHCA</w:t>
      </w:r>
    </w:p>
    <w:p w14:paraId="573D5628" w14:textId="77777777" w:rsidR="004D6E4E" w:rsidRDefault="004D6E4E" w:rsidP="00BF5773"/>
    <w:p w14:paraId="538D7351" w14:textId="77777777" w:rsidR="00DB24DF" w:rsidRDefault="00DB24DF" w:rsidP="00BF5773">
      <w:pPr>
        <w:sectPr w:rsidR="00DB24DF" w:rsidSect="00DB24DF">
          <w:type w:val="continuous"/>
          <w:pgSz w:w="11907" w:h="16840" w:code="9"/>
          <w:pgMar w:top="1134" w:right="1440" w:bottom="1440" w:left="1440" w:header="720" w:footer="709" w:gutter="0"/>
          <w:cols w:num="2" w:space="720"/>
          <w:titlePg/>
          <w:docGrid w:linePitch="326"/>
        </w:sectPr>
      </w:pPr>
    </w:p>
    <w:p w14:paraId="671F335E" w14:textId="77C61138" w:rsidR="004D6E4E" w:rsidRDefault="004D6E4E" w:rsidP="00BF5773"/>
    <w:p w14:paraId="42E9C07A" w14:textId="73762F0C" w:rsidR="00DB24DF" w:rsidRDefault="00DB24DF" w:rsidP="00DB24DF">
      <w:pPr>
        <w:spacing w:before="720" w:after="480"/>
        <w:ind w:firstLine="1276"/>
        <w:jc w:val="both"/>
        <w:rPr>
          <w:b/>
        </w:rPr>
      </w:pPr>
      <w:r w:rsidRPr="00DB24DF">
        <w:rPr>
          <w:noProof/>
          <w:lang w:eastAsia="en-AU"/>
        </w:rPr>
        <mc:AlternateContent>
          <mc:Choice Requires="wps">
            <w:drawing>
              <wp:anchor distT="0" distB="0" distL="114300" distR="114300" simplePos="0" relativeHeight="252737536" behindDoc="1" locked="0" layoutInCell="1" allowOverlap="1" wp14:anchorId="0FB3A298" wp14:editId="66CEBBF7">
                <wp:simplePos x="0" y="0"/>
                <wp:positionH relativeFrom="margin">
                  <wp:posOffset>-71755</wp:posOffset>
                </wp:positionH>
                <wp:positionV relativeFrom="paragraph">
                  <wp:posOffset>141605</wp:posOffset>
                </wp:positionV>
                <wp:extent cx="5968365" cy="3324860"/>
                <wp:effectExtent l="0" t="0" r="13335" b="27940"/>
                <wp:wrapNone/>
                <wp:docPr id="108" name="Rectangle 108"/>
                <wp:cNvGraphicFramePr/>
                <a:graphic xmlns:a="http://schemas.openxmlformats.org/drawingml/2006/main">
                  <a:graphicData uri="http://schemas.microsoft.com/office/word/2010/wordprocessingShape">
                    <wps:wsp>
                      <wps:cNvSpPr/>
                      <wps:spPr>
                        <a:xfrm>
                          <a:off x="0" y="0"/>
                          <a:ext cx="5968365" cy="3324860"/>
                        </a:xfrm>
                        <a:prstGeom prst="rect">
                          <a:avLst/>
                        </a:prstGeom>
                        <a:solidFill>
                          <a:schemeClr val="bg1">
                            <a:lumMod val="75000"/>
                            <a:alpha val="40000"/>
                          </a:schemeClr>
                        </a:solidFill>
                        <a:ln w="254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8" o:spid="_x0000_s1026" style="position:absolute;margin-left:-5.65pt;margin-top:11.15pt;width:469.95pt;height:261.8pt;z-index:-250578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" fillcolor="#bfbfbf [2412]" strokecolor="#002060" strokeweight="2pt">
                <v:fill opacity="26214f"/>
                <w10:wrap anchorx="margin"/>
              </v:rect>
            </w:pict>
          </mc:Fallback>
        </mc:AlternateContent>
      </w:r>
      <w:r w:rsidRPr="00DB24DF">
        <w:rPr>
          <w:noProof/>
          <w:lang w:eastAsia="en-AU"/>
        </w:rPr>
        <w:drawing>
          <wp:anchor distT="0" distB="0" distL="114300" distR="114300" simplePos="0" relativeHeight="252738560" behindDoc="0" locked="0" layoutInCell="1" allowOverlap="1" wp14:anchorId="0EDE9EE7" wp14:editId="32970605">
            <wp:simplePos x="0" y="0"/>
            <wp:positionH relativeFrom="margin">
              <wp:posOffset>55880</wp:posOffset>
            </wp:positionH>
            <wp:positionV relativeFrom="paragraph">
              <wp:posOffset>237657</wp:posOffset>
            </wp:positionV>
            <wp:extent cx="638810" cy="638810"/>
            <wp:effectExtent l="0" t="0" r="8890" b="889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8810" cy="638810"/>
                    </a:xfrm>
                    <a:prstGeom prst="rect">
                      <a:avLst/>
                    </a:prstGeom>
                  </pic:spPr>
                </pic:pic>
              </a:graphicData>
            </a:graphic>
            <wp14:sizeRelH relativeFrom="page">
              <wp14:pctWidth>0</wp14:pctWidth>
            </wp14:sizeRelH>
            <wp14:sizeRelV relativeFrom="page">
              <wp14:pctHeight>0</wp14:pctHeight>
            </wp14:sizeRelV>
          </wp:anchor>
        </w:drawing>
      </w:r>
      <w:r>
        <w:rPr>
          <w:b/>
        </w:rPr>
        <w:t>CASE STUDY</w:t>
      </w:r>
    </w:p>
    <w:p w14:paraId="1C89E9E1" w14:textId="77777777" w:rsidR="00DB24DF" w:rsidRPr="00E002DF" w:rsidRDefault="00DB24DF" w:rsidP="00DB24DF">
      <w:pPr>
        <w:rPr>
          <w:b/>
          <w:i/>
        </w:rPr>
      </w:pPr>
      <w:r w:rsidRPr="00E002DF">
        <w:rPr>
          <w:b/>
          <w:i/>
        </w:rPr>
        <w:t xml:space="preserve">Diagnostic health service provider discounts out of pocket expenses for failing to inform patient of the costs </w:t>
      </w:r>
    </w:p>
    <w:p w14:paraId="71DE233E" w14:textId="39B5A868" w:rsidR="00DB24DF" w:rsidRDefault="00B343AE" w:rsidP="00DB24DF">
      <w:pPr>
        <w:spacing w:before="120"/>
      </w:pPr>
      <w:r>
        <w:rPr>
          <w:noProof/>
          <w:lang w:eastAsia="en-AU"/>
        </w:rPr>
        <mc:AlternateContent>
          <mc:Choice Requires="wps">
            <w:drawing>
              <wp:anchor distT="0" distB="0" distL="114300" distR="114300" simplePos="0" relativeHeight="252742656" behindDoc="0" locked="0" layoutInCell="1" allowOverlap="1" wp14:anchorId="335D0481" wp14:editId="06350F28">
                <wp:simplePos x="0" y="0"/>
                <wp:positionH relativeFrom="column">
                  <wp:posOffset>2914022</wp:posOffset>
                </wp:positionH>
                <wp:positionV relativeFrom="paragraph">
                  <wp:posOffset>-1398933</wp:posOffset>
                </wp:positionV>
                <wp:extent cx="0" cy="3094892"/>
                <wp:effectExtent l="0" t="0" r="19050" b="10795"/>
                <wp:wrapNone/>
                <wp:docPr id="111" name="Straight Connector 111"/>
                <wp:cNvGraphicFramePr/>
                <a:graphic xmlns:a="http://schemas.openxmlformats.org/drawingml/2006/main">
                  <a:graphicData uri="http://schemas.microsoft.com/office/word/2010/wordprocessingShape">
                    <wps:wsp>
                      <wps:cNvCnPr/>
                      <wps:spPr>
                        <a:xfrm>
                          <a:off x="0" y="0"/>
                          <a:ext cx="0" cy="3094892"/>
                        </a:xfrm>
                        <a:prstGeom prst="line">
                          <a:avLst/>
                        </a:prstGeom>
                        <a:ln>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111" o:spid="_x0000_s1026" style="position:absolute;z-index:252742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9.45pt,-110.15pt" to="229.4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" strokecolor="#002060"/>
            </w:pict>
          </mc:Fallback>
        </mc:AlternateContent>
      </w:r>
      <w:r w:rsidR="00DB24DF">
        <w:t xml:space="preserve">An individual was referred to a diagnostic health service provider for an ultrasound. </w:t>
      </w:r>
      <w:r w:rsidR="00FB6B76">
        <w:t>They were</w:t>
      </w:r>
      <w:r w:rsidR="00DB24DF">
        <w:t xml:space="preserve"> informed by the General Practitioner and the service provider that the ultrasound would be bulk billed. On the day of the procedure, however, the diagnostic service provider informed the individual that a private account </w:t>
      </w:r>
      <w:r w:rsidR="00DB24DF">
        <w:br/>
      </w:r>
      <w:r w:rsidR="00DB24DF">
        <w:lastRenderedPageBreak/>
        <w:br/>
      </w:r>
      <w:r w:rsidR="00DB24DF">
        <w:br/>
      </w:r>
      <w:r w:rsidR="00DB24DF">
        <w:br/>
        <w:t>would be billed as they held an interim Medicare card. The individual was required to pay the full private fee. The individual contacted Medicare and was informed that the procedure</w:t>
      </w:r>
      <w:r w:rsidR="001659B0">
        <w:t xml:space="preserve"> should have been bulk billed. I</w:t>
      </w:r>
      <w:r w:rsidR="00DB24DF">
        <w:t>n the circumstances, however, the service provider’s policy was to charge a private account for holders of interim Medicare cards.</w:t>
      </w:r>
    </w:p>
    <w:p w14:paraId="01145428" w14:textId="77580C9E" w:rsidR="004D6E4E" w:rsidRDefault="00DB24DF" w:rsidP="00DB24DF">
      <w:pPr>
        <w:spacing w:before="120"/>
      </w:pPr>
      <w:r>
        <w:t>As a result of HaDSCO’s involvement, the diagnostic service provider offered a fifty per cent reduction on the consumer’s out of pocket fee (the difference between the Medicare and private fee) as a gesture of goodwill.</w:t>
      </w:r>
    </w:p>
    <w:p w14:paraId="03ED21EE" w14:textId="77777777" w:rsidR="004D6E4E" w:rsidRDefault="004D6E4E" w:rsidP="00BF5773">
      <w:pPr>
        <w:sectPr w:rsidR="004D6E4E" w:rsidSect="00DB24DF">
          <w:type w:val="continuous"/>
          <w:pgSz w:w="11907" w:h="16840" w:code="9"/>
          <w:pgMar w:top="1134" w:right="1440" w:bottom="1440" w:left="1440" w:header="720" w:footer="709" w:gutter="0"/>
          <w:cols w:num="2" w:space="720"/>
          <w:titlePg/>
          <w:docGrid w:linePitch="326"/>
        </w:sectPr>
      </w:pPr>
    </w:p>
    <w:p w14:paraId="343D278B" w14:textId="77777777" w:rsidR="00CB1C88" w:rsidRDefault="00CB1C88" w:rsidP="00CB1C88">
      <w:pPr>
        <w:rPr>
          <w:rFonts w:eastAsiaTheme="majorEastAsia" w:cstheme="majorBidi"/>
          <w:b/>
          <w:bCs/>
          <w:color w:val="000000" w:themeColor="text1"/>
        </w:rPr>
      </w:pPr>
      <w:r>
        <w:rPr>
          <w:rFonts w:eastAsiaTheme="majorEastAsia" w:cstheme="majorBidi"/>
          <w:b/>
          <w:bCs/>
          <w:color w:val="000000" w:themeColor="text1"/>
        </w:rPr>
        <w:lastRenderedPageBreak/>
        <w:t xml:space="preserve">Individual making the complaint </w:t>
      </w:r>
    </w:p>
    <w:p w14:paraId="2922CA20" w14:textId="77777777" w:rsidR="00CB1C88" w:rsidRPr="00C94DA2" w:rsidRDefault="00CB1C88" w:rsidP="00CB1C88">
      <w:pPr>
        <w:rPr>
          <w:b/>
        </w:rPr>
      </w:pPr>
    </w:p>
    <w:p w14:paraId="36B1042B" w14:textId="67D550B3" w:rsidR="00CB1C88" w:rsidRPr="00E73015" w:rsidRDefault="00CB1C88" w:rsidP="00CB1C88">
      <w:pPr>
        <w:pStyle w:val="Normal-L3"/>
        <w:rPr>
          <w:rFonts w:eastAsiaTheme="majorEastAsia" w:cstheme="majorBidi"/>
          <w:bCs/>
          <w:color w:val="000000" w:themeColor="text1"/>
          <w:szCs w:val="24"/>
        </w:rPr>
      </w:pPr>
      <w:r>
        <w:rPr>
          <w:rFonts w:eastAsiaTheme="majorEastAsia" w:cstheme="majorBidi"/>
          <w:bCs/>
          <w:color w:val="000000" w:themeColor="text1"/>
          <w:szCs w:val="24"/>
        </w:rPr>
        <w:t xml:space="preserve">The majority of complaints about a health service were made by the individual who received the service. The remaining complaints were made by a representative on behalf of the individual, which was typically a family </w:t>
      </w:r>
      <w:r w:rsidRPr="0085760F">
        <w:rPr>
          <w:rFonts w:eastAsiaTheme="majorEastAsia" w:cstheme="majorBidi"/>
          <w:bCs/>
          <w:color w:val="000000" w:themeColor="text1"/>
          <w:szCs w:val="24"/>
        </w:rPr>
        <w:t xml:space="preserve">member </w:t>
      </w:r>
      <w:r>
        <w:rPr>
          <w:rFonts w:eastAsiaTheme="majorEastAsia" w:cstheme="majorBidi"/>
          <w:bCs/>
          <w:color w:val="000000" w:themeColor="text1"/>
          <w:szCs w:val="24"/>
        </w:rPr>
        <w:t>(as shown in Figure 8</w:t>
      </w:r>
      <w:r w:rsidRPr="0085760F">
        <w:rPr>
          <w:rFonts w:eastAsiaTheme="majorEastAsia" w:cstheme="majorBidi"/>
          <w:bCs/>
          <w:color w:val="000000" w:themeColor="text1"/>
          <w:szCs w:val="24"/>
        </w:rPr>
        <w:t>).</w:t>
      </w:r>
      <w:r>
        <w:rPr>
          <w:rFonts w:eastAsiaTheme="majorEastAsia" w:cstheme="majorBidi"/>
          <w:bCs/>
          <w:color w:val="000000" w:themeColor="text1"/>
          <w:szCs w:val="24"/>
        </w:rPr>
        <w:t xml:space="preserve"> </w:t>
      </w:r>
    </w:p>
    <w:p w14:paraId="3FF9B798" w14:textId="77777777" w:rsidR="00CB1C88" w:rsidRDefault="00CB1C88" w:rsidP="00CB1C88">
      <w:pPr>
        <w:pStyle w:val="Normal-L3"/>
        <w:spacing w:line="276" w:lineRule="auto"/>
        <w:rPr>
          <w:rFonts w:eastAsiaTheme="majorEastAsia" w:cstheme="majorBidi"/>
          <w:b/>
          <w:bCs/>
          <w:color w:val="000000" w:themeColor="text1"/>
          <w:szCs w:val="24"/>
        </w:rPr>
      </w:pPr>
    </w:p>
    <w:p w14:paraId="6A05111E" w14:textId="77777777" w:rsidR="00CB1C88" w:rsidRDefault="00CB1C88" w:rsidP="00CB1C88">
      <w:r>
        <w:t>Over the past three years, there has been a gradual increase in the proportion of complaints made by the individual who received the service.</w:t>
      </w:r>
    </w:p>
    <w:p w14:paraId="5F6E9000" w14:textId="77777777" w:rsidR="00CB1C88" w:rsidRDefault="00CB1C88" w:rsidP="00CB1C88">
      <w:pPr>
        <w:pStyle w:val="Normal-L3"/>
        <w:spacing w:line="276" w:lineRule="auto"/>
        <w:rPr>
          <w:rFonts w:eastAsiaTheme="majorEastAsia" w:cstheme="majorBidi"/>
          <w:b/>
          <w:bCs/>
          <w:color w:val="000000" w:themeColor="text1"/>
          <w:szCs w:val="24"/>
        </w:rPr>
      </w:pPr>
    </w:p>
    <w:p w14:paraId="2F97439E" w14:textId="12153B02" w:rsidR="00CB1C88" w:rsidRDefault="00CB1C88" w:rsidP="00CB1C88">
      <w:pPr>
        <w:rPr>
          <w:rFonts w:eastAsiaTheme="majorEastAsia" w:cstheme="majorBidi"/>
          <w:b/>
          <w:bCs/>
          <w:color w:val="000000" w:themeColor="text1"/>
        </w:rPr>
      </w:pPr>
      <w:r w:rsidRPr="0085760F">
        <w:rPr>
          <w:rFonts w:eastAsiaTheme="majorEastAsia" w:cstheme="majorBidi"/>
          <w:b/>
          <w:bCs/>
          <w:color w:val="000000" w:themeColor="text1"/>
        </w:rPr>
        <w:t xml:space="preserve">Figure </w:t>
      </w:r>
      <w:r>
        <w:rPr>
          <w:rFonts w:eastAsiaTheme="majorEastAsia" w:cstheme="majorBidi"/>
          <w:b/>
          <w:bCs/>
          <w:color w:val="000000" w:themeColor="text1"/>
        </w:rPr>
        <w:t>8</w:t>
      </w:r>
      <w:r w:rsidRPr="0085760F">
        <w:rPr>
          <w:rFonts w:eastAsiaTheme="majorEastAsia" w:cstheme="majorBidi"/>
          <w:b/>
          <w:bCs/>
          <w:color w:val="000000" w:themeColor="text1"/>
        </w:rPr>
        <w:t>: Individual</w:t>
      </w:r>
      <w:r>
        <w:rPr>
          <w:rFonts w:eastAsiaTheme="majorEastAsia" w:cstheme="majorBidi"/>
          <w:b/>
          <w:bCs/>
          <w:color w:val="000000" w:themeColor="text1"/>
        </w:rPr>
        <w:t xml:space="preserve"> making the complaint </w:t>
      </w:r>
    </w:p>
    <w:p w14:paraId="5909C24A" w14:textId="77777777" w:rsidR="00CB1C88" w:rsidRDefault="00CB1C88" w:rsidP="00CB1C88">
      <w:r w:rsidRPr="001F1FD0">
        <w:rPr>
          <w:noProof/>
          <w:lang w:eastAsia="en-AU"/>
        </w:rPr>
        <w:drawing>
          <wp:inline distT="0" distB="0" distL="0" distR="0" wp14:anchorId="0D2446E4" wp14:editId="190AA06C">
            <wp:extent cx="5830957" cy="2411896"/>
            <wp:effectExtent l="0" t="0" r="17780" b="2667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66F6C12" w14:textId="77777777" w:rsidR="00CB1C88" w:rsidRDefault="00CB1C88" w:rsidP="00CB1C88">
      <w:pPr>
        <w:jc w:val="both"/>
        <w:rPr>
          <w:i/>
          <w:sz w:val="16"/>
          <w:szCs w:val="20"/>
        </w:rPr>
      </w:pPr>
    </w:p>
    <w:p w14:paraId="5B91CA8D" w14:textId="77777777" w:rsidR="00CB1C88" w:rsidRDefault="00CB1C88" w:rsidP="00CB1C88">
      <w:pPr>
        <w:rPr>
          <w:i/>
          <w:sz w:val="16"/>
          <w:szCs w:val="16"/>
        </w:rPr>
      </w:pPr>
      <w:r>
        <w:rPr>
          <w:i/>
          <w:sz w:val="16"/>
          <w:szCs w:val="16"/>
        </w:rPr>
        <w:t>Totals may not sum to 100% due to rounding.</w:t>
      </w:r>
    </w:p>
    <w:p w14:paraId="03145F2A" w14:textId="77777777" w:rsidR="00CB1C88" w:rsidRDefault="00CB1C88" w:rsidP="00CB1C88"/>
    <w:p w14:paraId="3F937CDD" w14:textId="42F09994" w:rsidR="00CB1C88" w:rsidRDefault="00CB1C88" w:rsidP="00CB1C88">
      <w:r w:rsidRPr="00A647DB">
        <w:t xml:space="preserve">Complaints about </w:t>
      </w:r>
      <w:r>
        <w:t xml:space="preserve">health services were distributed relatively equally between males and females, and were least likely to concern services provided to individuals aged under 25 years of age. Details are provided in </w:t>
      </w:r>
      <w:r w:rsidRPr="00A647DB">
        <w:t xml:space="preserve">Figure </w:t>
      </w:r>
      <w:r>
        <w:t>9.</w:t>
      </w:r>
    </w:p>
    <w:p w14:paraId="182A0361" w14:textId="77777777" w:rsidR="00CB1C88" w:rsidRDefault="00CB1C88" w:rsidP="00CB1C88"/>
    <w:p w14:paraId="1ED06998" w14:textId="7F324A15" w:rsidR="00CB1C88" w:rsidRDefault="00CB1C88" w:rsidP="00CB1C88">
      <w:pPr>
        <w:pStyle w:val="Normal-L3"/>
        <w:spacing w:line="276" w:lineRule="auto"/>
        <w:jc w:val="both"/>
        <w:rPr>
          <w:rFonts w:eastAsiaTheme="majorEastAsia" w:cstheme="majorBidi"/>
          <w:b/>
          <w:bCs/>
          <w:color w:val="000000" w:themeColor="text1"/>
          <w:szCs w:val="24"/>
        </w:rPr>
      </w:pPr>
      <w:r w:rsidRPr="00467EC0">
        <w:rPr>
          <w:rFonts w:eastAsiaTheme="majorEastAsia" w:cstheme="majorBidi"/>
          <w:b/>
          <w:bCs/>
          <w:color w:val="000000" w:themeColor="text1"/>
          <w:szCs w:val="24"/>
        </w:rPr>
        <w:t xml:space="preserve">Figure </w:t>
      </w:r>
      <w:r>
        <w:rPr>
          <w:rFonts w:eastAsiaTheme="majorEastAsia" w:cstheme="majorBidi"/>
          <w:b/>
          <w:bCs/>
          <w:color w:val="000000" w:themeColor="text1"/>
          <w:szCs w:val="24"/>
        </w:rPr>
        <w:t>9</w:t>
      </w:r>
      <w:r w:rsidRPr="00467EC0">
        <w:rPr>
          <w:rFonts w:eastAsiaTheme="majorEastAsia" w:cstheme="majorBidi"/>
          <w:b/>
          <w:bCs/>
          <w:color w:val="000000" w:themeColor="text1"/>
          <w:szCs w:val="24"/>
        </w:rPr>
        <w:t xml:space="preserve">: </w:t>
      </w:r>
      <w:r>
        <w:rPr>
          <w:rFonts w:eastAsiaTheme="majorEastAsia" w:cstheme="majorBidi"/>
          <w:b/>
          <w:bCs/>
          <w:color w:val="000000" w:themeColor="text1"/>
          <w:szCs w:val="24"/>
        </w:rPr>
        <w:t>Age and gender of the individual receiving a service (2017-18)</w:t>
      </w:r>
    </w:p>
    <w:p w14:paraId="3C6FBF64" w14:textId="77777777" w:rsidR="00CB1C88" w:rsidRPr="00163500" w:rsidRDefault="00CB1C88" w:rsidP="00163500">
      <w:pPr>
        <w:rPr>
          <w:b/>
        </w:rPr>
      </w:pPr>
      <w:r>
        <w:rPr>
          <w:noProof/>
          <w:lang w:eastAsia="en-AU"/>
        </w:rPr>
        <mc:AlternateContent>
          <mc:Choice Requires="wps">
            <w:drawing>
              <wp:anchor distT="0" distB="0" distL="114300" distR="114300" simplePos="0" relativeHeight="252686336" behindDoc="0" locked="0" layoutInCell="1" allowOverlap="1" wp14:anchorId="415EF37A" wp14:editId="72AF6243">
                <wp:simplePos x="0" y="0"/>
                <wp:positionH relativeFrom="column">
                  <wp:posOffset>1419225</wp:posOffset>
                </wp:positionH>
                <wp:positionV relativeFrom="paragraph">
                  <wp:posOffset>15240</wp:posOffset>
                </wp:positionV>
                <wp:extent cx="1047750" cy="314325"/>
                <wp:effectExtent l="0" t="0" r="0" b="127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314325"/>
                        </a:xfrm>
                        <a:prstGeom prst="rect">
                          <a:avLst/>
                        </a:prstGeom>
                        <a:solidFill>
                          <a:srgbClr val="FFFFFF"/>
                        </a:solidFill>
                        <a:ln w="9525">
                          <a:noFill/>
                          <a:miter lim="800000"/>
                          <a:headEnd/>
                          <a:tailEnd/>
                        </a:ln>
                      </wps:spPr>
                      <wps:txbx>
                        <w:txbxContent>
                          <w:p w14:paraId="119AF50D" w14:textId="77777777" w:rsidR="00A03A05" w:rsidRPr="003122C8" w:rsidRDefault="00A03A05" w:rsidP="00CB1C88">
                            <w:pPr>
                              <w:jc w:val="center"/>
                              <w:rPr>
                                <w:sz w:val="20"/>
                                <w:szCs w:val="20"/>
                              </w:rPr>
                            </w:pPr>
                            <w:r>
                              <w:rPr>
                                <w:sz w:val="20"/>
                                <w:szCs w:val="20"/>
                              </w:rPr>
                              <w:t>Age (n=1,094</w:t>
                            </w:r>
                            <w:r w:rsidRPr="003122C8">
                              <w:rPr>
                                <w:sz w:val="20"/>
                                <w:szCs w:val="20"/>
                              </w:rPr>
                              <w:t>)</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5" type="#_x0000_t202" style="position:absolute;margin-left:111.75pt;margin-top:1.2pt;width:82.5pt;height:24.75pt;z-index:25268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" stroked="f">
                <v:textbox style="mso-fit-shape-to-text:t">
                  <w:txbxContent>
                    <w:p w14:paraId="119AF50D" w14:textId="77777777" w:rsidR="00A03A05" w:rsidRPr="003122C8" w:rsidRDefault="00A03A05" w:rsidP="00CB1C88">
                      <w:pPr>
                        <w:jc w:val="center"/>
                        <w:rPr>
                          <w:sz w:val="20"/>
                          <w:szCs w:val="20"/>
                        </w:rPr>
                      </w:pPr>
                      <w:r>
                        <w:rPr>
                          <w:sz w:val="20"/>
                          <w:szCs w:val="20"/>
                        </w:rPr>
                        <w:t>Age (n=1,094</w:t>
                      </w:r>
                      <w:r w:rsidRPr="003122C8">
                        <w:rPr>
                          <w:sz w:val="20"/>
                          <w:szCs w:val="20"/>
                        </w:rPr>
                        <w:t>)</w:t>
                      </w:r>
                    </w:p>
                  </w:txbxContent>
                </v:textbox>
              </v:shape>
            </w:pict>
          </mc:Fallback>
        </mc:AlternateContent>
      </w:r>
      <w:r>
        <w:rPr>
          <w:noProof/>
          <w:lang w:eastAsia="en-AU"/>
        </w:rPr>
        <mc:AlternateContent>
          <mc:Choice Requires="wps">
            <w:drawing>
              <wp:anchor distT="0" distB="0" distL="114300" distR="114300" simplePos="0" relativeHeight="252687360" behindDoc="0" locked="0" layoutInCell="1" allowOverlap="1" wp14:anchorId="4D59A777" wp14:editId="037A5521">
                <wp:simplePos x="0" y="0"/>
                <wp:positionH relativeFrom="column">
                  <wp:posOffset>4438650</wp:posOffset>
                </wp:positionH>
                <wp:positionV relativeFrom="paragraph">
                  <wp:posOffset>14605</wp:posOffset>
                </wp:positionV>
                <wp:extent cx="1257300" cy="314325"/>
                <wp:effectExtent l="0" t="0" r="0" b="127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14325"/>
                        </a:xfrm>
                        <a:prstGeom prst="rect">
                          <a:avLst/>
                        </a:prstGeom>
                        <a:solidFill>
                          <a:srgbClr val="FFFFFF"/>
                        </a:solidFill>
                        <a:ln w="9525">
                          <a:noFill/>
                          <a:miter lim="800000"/>
                          <a:headEnd/>
                          <a:tailEnd/>
                        </a:ln>
                      </wps:spPr>
                      <wps:txbx>
                        <w:txbxContent>
                          <w:p w14:paraId="00B7B61D" w14:textId="77777777" w:rsidR="00A03A05" w:rsidRPr="003122C8" w:rsidRDefault="00A03A05" w:rsidP="00CB1C88">
                            <w:pPr>
                              <w:jc w:val="center"/>
                              <w:rPr>
                                <w:sz w:val="20"/>
                                <w:szCs w:val="20"/>
                              </w:rPr>
                            </w:pPr>
                            <w:r>
                              <w:rPr>
                                <w:sz w:val="20"/>
                                <w:szCs w:val="20"/>
                              </w:rPr>
                              <w:t>Gender</w:t>
                            </w:r>
                            <w:r w:rsidRPr="003122C8">
                              <w:rPr>
                                <w:sz w:val="20"/>
                                <w:szCs w:val="20"/>
                              </w:rPr>
                              <w:t xml:space="preserve"> </w:t>
                            </w:r>
                            <w:r>
                              <w:rPr>
                                <w:sz w:val="20"/>
                                <w:szCs w:val="20"/>
                              </w:rPr>
                              <w:t>(</w:t>
                            </w:r>
                            <w:r w:rsidRPr="003122C8">
                              <w:rPr>
                                <w:sz w:val="20"/>
                                <w:szCs w:val="20"/>
                              </w:rPr>
                              <w:t>n=</w:t>
                            </w:r>
                            <w:r>
                              <w:rPr>
                                <w:sz w:val="20"/>
                                <w:szCs w:val="20"/>
                              </w:rPr>
                              <w:t>1,894</w:t>
                            </w:r>
                            <w:r w:rsidRPr="003122C8">
                              <w:rPr>
                                <w:sz w:val="20"/>
                                <w:szCs w:val="20"/>
                              </w:rPr>
                              <w:t>)</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6" type="#_x0000_t202" style="position:absolute;margin-left:349.5pt;margin-top:1.15pt;width:99pt;height:24.75pt;z-index:2526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" stroked="f">
                <v:textbox style="mso-fit-shape-to-text:t">
                  <w:txbxContent>
                    <w:p w14:paraId="00B7B61D" w14:textId="77777777" w:rsidR="00A03A05" w:rsidRPr="003122C8" w:rsidRDefault="00A03A05" w:rsidP="00CB1C88">
                      <w:pPr>
                        <w:jc w:val="center"/>
                        <w:rPr>
                          <w:sz w:val="20"/>
                          <w:szCs w:val="20"/>
                        </w:rPr>
                      </w:pPr>
                      <w:r>
                        <w:rPr>
                          <w:sz w:val="20"/>
                          <w:szCs w:val="20"/>
                        </w:rPr>
                        <w:t>Gender</w:t>
                      </w:r>
                      <w:r w:rsidRPr="003122C8">
                        <w:rPr>
                          <w:sz w:val="20"/>
                          <w:szCs w:val="20"/>
                        </w:rPr>
                        <w:t xml:space="preserve"> </w:t>
                      </w:r>
                      <w:r>
                        <w:rPr>
                          <w:sz w:val="20"/>
                          <w:szCs w:val="20"/>
                        </w:rPr>
                        <w:t>(</w:t>
                      </w:r>
                      <w:r w:rsidRPr="003122C8">
                        <w:rPr>
                          <w:sz w:val="20"/>
                          <w:szCs w:val="20"/>
                        </w:rPr>
                        <w:t>n=</w:t>
                      </w:r>
                      <w:r>
                        <w:rPr>
                          <w:sz w:val="20"/>
                          <w:szCs w:val="20"/>
                        </w:rPr>
                        <w:t>1,894</w:t>
                      </w:r>
                      <w:r w:rsidRPr="003122C8">
                        <w:rPr>
                          <w:sz w:val="20"/>
                          <w:szCs w:val="20"/>
                        </w:rPr>
                        <w:t>)</w:t>
                      </w:r>
                    </w:p>
                  </w:txbxContent>
                </v:textbox>
              </v:shape>
            </w:pict>
          </mc:Fallback>
        </mc:AlternateContent>
      </w:r>
      <w:r w:rsidRPr="0069133C">
        <w:rPr>
          <w:noProof/>
          <w:shd w:val="clear" w:color="auto" w:fill="BFBFBF" w:themeFill="background1" w:themeFillShade="BF"/>
          <w:lang w:eastAsia="en-AU"/>
        </w:rPr>
        <w:drawing>
          <wp:inline distT="0" distB="0" distL="0" distR="0" wp14:anchorId="07207EC0" wp14:editId="034850FF">
            <wp:extent cx="5886450" cy="2162175"/>
            <wp:effectExtent l="0" t="0" r="19050" b="952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98374CC" w14:textId="77777777" w:rsidR="00163500" w:rsidRPr="00163500" w:rsidRDefault="00163500" w:rsidP="00163500">
      <w:pPr>
        <w:rPr>
          <w:b/>
          <w:sz w:val="16"/>
          <w:szCs w:val="16"/>
        </w:rPr>
      </w:pPr>
    </w:p>
    <w:p w14:paraId="260E2AA2" w14:textId="30039E74" w:rsidR="00CB1C88" w:rsidRPr="00120331" w:rsidRDefault="00CB1C88" w:rsidP="00CB1C88">
      <w:pPr>
        <w:rPr>
          <w:i/>
          <w:sz w:val="16"/>
          <w:szCs w:val="16"/>
        </w:rPr>
      </w:pPr>
      <w:r>
        <w:rPr>
          <w:i/>
          <w:sz w:val="16"/>
          <w:szCs w:val="16"/>
        </w:rPr>
        <w:t xml:space="preserve">Totals may not sum to 100% due to rounding. The data in Figure 9 is provided only for complaints where demographic information about the individual receiving a service was recorded. </w:t>
      </w:r>
    </w:p>
    <w:p w14:paraId="08865163" w14:textId="77777777" w:rsidR="00CB1C88" w:rsidRDefault="00CB1C88" w:rsidP="00CB1C88">
      <w:pPr>
        <w:rPr>
          <w:b/>
        </w:rPr>
      </w:pPr>
    </w:p>
    <w:p w14:paraId="23ECEFD9" w14:textId="77777777" w:rsidR="00CB1C88" w:rsidRDefault="00CB1C88" w:rsidP="00CB1C88">
      <w:pPr>
        <w:rPr>
          <w:b/>
        </w:rPr>
      </w:pPr>
    </w:p>
    <w:p w14:paraId="53BA2A1A" w14:textId="77777777" w:rsidR="00CB1C88" w:rsidRDefault="00CB1C88" w:rsidP="00CB1C88">
      <w:pPr>
        <w:rPr>
          <w:b/>
        </w:rPr>
      </w:pPr>
    </w:p>
    <w:p w14:paraId="27EE1238" w14:textId="3074E376" w:rsidR="00163500" w:rsidRDefault="00163500">
      <w:pPr>
        <w:spacing w:after="200" w:line="276" w:lineRule="auto"/>
        <w:rPr>
          <w:b/>
        </w:rPr>
      </w:pPr>
      <w:r>
        <w:rPr>
          <w:b/>
        </w:rPr>
        <w:br w:type="page"/>
      </w:r>
    </w:p>
    <w:p w14:paraId="735E17EC" w14:textId="77777777" w:rsidR="00CB1C88" w:rsidRDefault="00CB1C88" w:rsidP="00CB1C88">
      <w:pPr>
        <w:rPr>
          <w:b/>
        </w:rPr>
      </w:pPr>
      <w:r>
        <w:rPr>
          <w:b/>
        </w:rPr>
        <w:lastRenderedPageBreak/>
        <w:t xml:space="preserve">Issues identified </w:t>
      </w:r>
    </w:p>
    <w:p w14:paraId="7BC8BB8E" w14:textId="77777777" w:rsidR="00CB1C88" w:rsidRDefault="00CB1C88" w:rsidP="00CB1C88">
      <w:pPr>
        <w:rPr>
          <w:b/>
        </w:rPr>
      </w:pPr>
    </w:p>
    <w:p w14:paraId="5ED03C55" w14:textId="77777777" w:rsidR="00CB1C88" w:rsidRDefault="00CB1C88" w:rsidP="00CB1C88">
      <w:r>
        <w:t>The issues associated with a complaint about a health service are determined by HaDSCO staff in discussion with the person making the complaint. Identifying the issues in the complaint provides for effective resolution and allows all parties to have an understanding of the issues raised.</w:t>
      </w:r>
    </w:p>
    <w:p w14:paraId="75A76B8E" w14:textId="77777777" w:rsidR="00CB1C88" w:rsidRDefault="00CB1C88" w:rsidP="00CB1C88"/>
    <w:p w14:paraId="32D62F42" w14:textId="491F2141" w:rsidR="00CB1C88" w:rsidRDefault="00CB1C88" w:rsidP="00CB1C88">
      <w:r w:rsidRPr="00B60653">
        <w:t xml:space="preserve">More than one </w:t>
      </w:r>
      <w:r>
        <w:t>issue</w:t>
      </w:r>
      <w:r w:rsidRPr="00B60653">
        <w:t xml:space="preserve"> can be raised </w:t>
      </w:r>
      <w:r>
        <w:t>in a single complaint. O</w:t>
      </w:r>
      <w:r w:rsidRPr="00B60653">
        <w:t>f the 1,</w:t>
      </w:r>
      <w:r>
        <w:t>894</w:t>
      </w:r>
      <w:r w:rsidRPr="00B60653">
        <w:t xml:space="preserve"> complaints about health s</w:t>
      </w:r>
      <w:r>
        <w:t>ervices closed by HaDSCO in 2017-18,</w:t>
      </w:r>
      <w:r w:rsidRPr="00B60653">
        <w:t xml:space="preserve"> </w:t>
      </w:r>
      <w:r>
        <w:t xml:space="preserve">44% </w:t>
      </w:r>
      <w:r w:rsidRPr="00B60653">
        <w:t>concerned multiple i</w:t>
      </w:r>
      <w:r>
        <w:t>ssues, resulting in a total of 3</w:t>
      </w:r>
      <w:r w:rsidRPr="00B60653">
        <w:t>,</w:t>
      </w:r>
      <w:r>
        <w:t>046</w:t>
      </w:r>
      <w:r w:rsidRPr="00B60653">
        <w:t xml:space="preserve"> issues being identified. </w:t>
      </w:r>
      <w:r>
        <w:t>As shown in Figure 10</w:t>
      </w:r>
      <w:r w:rsidRPr="0085760F">
        <w:t>, the</w:t>
      </w:r>
      <w:r w:rsidRPr="00B60653">
        <w:t xml:space="preserve"> number of </w:t>
      </w:r>
      <w:r>
        <w:t>complaints identifying more than one issue has increased in 2017-18, suggesting an increase in the complexity of the complaints managed by the Office over the last 12 months.</w:t>
      </w:r>
    </w:p>
    <w:p w14:paraId="5DDFB670" w14:textId="77777777" w:rsidR="00CB1C88" w:rsidRPr="00C94DA2" w:rsidRDefault="00CB1C88" w:rsidP="00CB1C88">
      <w:pPr>
        <w:rPr>
          <w:b/>
        </w:rPr>
      </w:pPr>
    </w:p>
    <w:p w14:paraId="6A66E11E" w14:textId="5270C1F5" w:rsidR="00CB1C88" w:rsidRDefault="00CB1C88" w:rsidP="00CB1C88">
      <w:pPr>
        <w:pStyle w:val="Normal-L3"/>
        <w:spacing w:line="276" w:lineRule="auto"/>
        <w:rPr>
          <w:rFonts w:eastAsiaTheme="majorEastAsia" w:cstheme="majorBidi"/>
          <w:b/>
          <w:bCs/>
          <w:color w:val="000000" w:themeColor="text1"/>
          <w:szCs w:val="24"/>
        </w:rPr>
      </w:pPr>
      <w:r w:rsidRPr="0085760F">
        <w:rPr>
          <w:rFonts w:eastAsiaTheme="majorEastAsia" w:cstheme="majorBidi"/>
          <w:b/>
          <w:bCs/>
          <w:color w:val="000000" w:themeColor="text1"/>
          <w:szCs w:val="24"/>
        </w:rPr>
        <w:t xml:space="preserve">Figure </w:t>
      </w:r>
      <w:r>
        <w:rPr>
          <w:rFonts w:eastAsiaTheme="majorEastAsia" w:cstheme="majorBidi"/>
          <w:b/>
          <w:bCs/>
          <w:color w:val="000000" w:themeColor="text1"/>
          <w:szCs w:val="24"/>
        </w:rPr>
        <w:t>10</w:t>
      </w:r>
      <w:r w:rsidRPr="0085760F">
        <w:rPr>
          <w:rFonts w:eastAsiaTheme="majorEastAsia" w:cstheme="majorBidi"/>
          <w:b/>
          <w:bCs/>
          <w:color w:val="000000" w:themeColor="text1"/>
          <w:szCs w:val="24"/>
        </w:rPr>
        <w:t>: Issues</w:t>
      </w:r>
      <w:r>
        <w:rPr>
          <w:rFonts w:eastAsiaTheme="majorEastAsia" w:cstheme="majorBidi"/>
          <w:b/>
          <w:bCs/>
          <w:color w:val="000000" w:themeColor="text1"/>
          <w:szCs w:val="24"/>
        </w:rPr>
        <w:t xml:space="preserve"> per complaint </w:t>
      </w:r>
      <w:r w:rsidRPr="00415BC1">
        <w:rPr>
          <w:noProof/>
          <w:lang w:eastAsia="en-AU"/>
        </w:rPr>
        <w:t xml:space="preserve"> </w:t>
      </w:r>
    </w:p>
    <w:p w14:paraId="07D73476" w14:textId="77777777" w:rsidR="00CB1C88" w:rsidRDefault="00CB1C88" w:rsidP="00CB1C88">
      <w:pPr>
        <w:jc w:val="both"/>
      </w:pPr>
      <w:r w:rsidRPr="00415BC1">
        <w:rPr>
          <w:noProof/>
          <w:lang w:eastAsia="en-AU"/>
        </w:rPr>
        <w:drawing>
          <wp:inline distT="0" distB="0" distL="0" distR="0" wp14:anchorId="39186092" wp14:editId="773D8F09">
            <wp:extent cx="5943600" cy="2190750"/>
            <wp:effectExtent l="0" t="0" r="19050" b="1905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604504E" w14:textId="77777777" w:rsidR="00CB1C88" w:rsidRDefault="00CB1C88" w:rsidP="00CB1C88">
      <w:pPr>
        <w:jc w:val="both"/>
        <w:rPr>
          <w:i/>
          <w:sz w:val="16"/>
          <w:szCs w:val="20"/>
        </w:rPr>
      </w:pPr>
    </w:p>
    <w:p w14:paraId="4E89BE71" w14:textId="77777777" w:rsidR="00CB1C88" w:rsidRDefault="00CB1C88" w:rsidP="00CB1C88">
      <w:pPr>
        <w:jc w:val="both"/>
        <w:rPr>
          <w:i/>
          <w:sz w:val="16"/>
          <w:szCs w:val="16"/>
        </w:rPr>
      </w:pPr>
      <w:r>
        <w:rPr>
          <w:i/>
          <w:sz w:val="16"/>
          <w:szCs w:val="16"/>
        </w:rPr>
        <w:t xml:space="preserve">Totals may not sum to 100% due to rounding. </w:t>
      </w:r>
      <w:r>
        <w:rPr>
          <w:i/>
          <w:sz w:val="16"/>
          <w:szCs w:val="20"/>
        </w:rPr>
        <w:t>Complaint issues were not recorded for three complaints in 2015-16.</w:t>
      </w:r>
    </w:p>
    <w:p w14:paraId="4AAF089E" w14:textId="0FE41A7D" w:rsidR="00CB1C88" w:rsidRDefault="00CB1C88" w:rsidP="00CB1C88">
      <w:pPr>
        <w:jc w:val="both"/>
      </w:pPr>
    </w:p>
    <w:p w14:paraId="37EA7708" w14:textId="631E2197" w:rsidR="00CB1C88" w:rsidRDefault="00CB1C88" w:rsidP="00CB1C88">
      <w:pPr>
        <w:jc w:val="both"/>
        <w:rPr>
          <w:b/>
        </w:rPr>
      </w:pPr>
    </w:p>
    <w:p w14:paraId="38E53B62" w14:textId="77777777" w:rsidR="00CB1C88" w:rsidRDefault="00CB1C88" w:rsidP="00CB1C88">
      <w:pPr>
        <w:jc w:val="both"/>
        <w:rPr>
          <w:b/>
        </w:rPr>
        <w:sectPr w:rsidR="00CB1C88" w:rsidSect="004D6E4E">
          <w:pgSz w:w="11907" w:h="16840" w:code="9"/>
          <w:pgMar w:top="1134" w:right="1440" w:bottom="1440" w:left="1440" w:header="720" w:footer="709" w:gutter="0"/>
          <w:cols w:sep="1" w:space="720"/>
          <w:titlePg/>
          <w:docGrid w:linePitch="326"/>
        </w:sectPr>
      </w:pPr>
    </w:p>
    <w:p w14:paraId="7282AD03" w14:textId="77777777" w:rsidR="002A0FED" w:rsidRDefault="002A0FED" w:rsidP="002A0FED">
      <w:pPr>
        <w:spacing w:after="360"/>
        <w:ind w:firstLine="1276"/>
        <w:jc w:val="both"/>
        <w:rPr>
          <w:b/>
        </w:rPr>
      </w:pPr>
    </w:p>
    <w:p w14:paraId="208909EB" w14:textId="7E35A978" w:rsidR="002A0FED" w:rsidRDefault="002A0FED" w:rsidP="002A0FED">
      <w:pPr>
        <w:spacing w:after="360"/>
        <w:ind w:firstLine="1276"/>
        <w:jc w:val="both"/>
        <w:rPr>
          <w:b/>
        </w:rPr>
      </w:pPr>
      <w:r>
        <w:rPr>
          <w:b/>
          <w:noProof/>
          <w:lang w:eastAsia="en-AU"/>
        </w:rPr>
        <mc:AlternateContent>
          <mc:Choice Requires="wps">
            <w:drawing>
              <wp:anchor distT="0" distB="0" distL="114300" distR="114300" simplePos="0" relativeHeight="252720128" behindDoc="1" locked="0" layoutInCell="1" allowOverlap="1" wp14:anchorId="26DA3326" wp14:editId="39D48EEC">
                <wp:simplePos x="0" y="0"/>
                <wp:positionH relativeFrom="margin">
                  <wp:posOffset>-142240</wp:posOffset>
                </wp:positionH>
                <wp:positionV relativeFrom="paragraph">
                  <wp:posOffset>8890</wp:posOffset>
                </wp:positionV>
                <wp:extent cx="5968365" cy="2710815"/>
                <wp:effectExtent l="0" t="0" r="13335" b="13335"/>
                <wp:wrapNone/>
                <wp:docPr id="294" name="Rectangle 294"/>
                <wp:cNvGraphicFramePr/>
                <a:graphic xmlns:a="http://schemas.openxmlformats.org/drawingml/2006/main">
                  <a:graphicData uri="http://schemas.microsoft.com/office/word/2010/wordprocessingShape">
                    <wps:wsp>
                      <wps:cNvSpPr/>
                      <wps:spPr>
                        <a:xfrm>
                          <a:off x="0" y="0"/>
                          <a:ext cx="5968365" cy="2710815"/>
                        </a:xfrm>
                        <a:prstGeom prst="rect">
                          <a:avLst/>
                        </a:prstGeom>
                        <a:solidFill>
                          <a:schemeClr val="bg1">
                            <a:lumMod val="75000"/>
                            <a:alpha val="40000"/>
                          </a:schemeClr>
                        </a:solidFill>
                        <a:ln w="254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4" o:spid="_x0000_s1026" style="position:absolute;margin-left:-11.2pt;margin-top:.7pt;width:469.95pt;height:213.45pt;z-index:-250596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" fillcolor="#bfbfbf [2412]" strokecolor="#002060" strokeweight="2pt">
                <v:fill opacity="26214f"/>
                <w10:wrap anchorx="margin"/>
              </v:rect>
            </w:pict>
          </mc:Fallback>
        </mc:AlternateContent>
      </w:r>
      <w:r>
        <w:rPr>
          <w:b/>
          <w:noProof/>
          <w:lang w:eastAsia="en-AU"/>
        </w:rPr>
        <w:drawing>
          <wp:anchor distT="0" distB="0" distL="114300" distR="114300" simplePos="0" relativeHeight="252721152" behindDoc="0" locked="0" layoutInCell="1" allowOverlap="1" wp14:anchorId="551BB108" wp14:editId="3F4D9247">
            <wp:simplePos x="0" y="0"/>
            <wp:positionH relativeFrom="margin">
              <wp:posOffset>-17653</wp:posOffset>
            </wp:positionH>
            <wp:positionV relativeFrom="paragraph">
              <wp:posOffset>168275</wp:posOffset>
            </wp:positionV>
            <wp:extent cx="638810" cy="638810"/>
            <wp:effectExtent l="0" t="0" r="8890" b="8890"/>
            <wp:wrapNone/>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8810" cy="638810"/>
                    </a:xfrm>
                    <a:prstGeom prst="rect">
                      <a:avLst/>
                    </a:prstGeom>
                  </pic:spPr>
                </pic:pic>
              </a:graphicData>
            </a:graphic>
            <wp14:sizeRelH relativeFrom="page">
              <wp14:pctWidth>0</wp14:pctWidth>
            </wp14:sizeRelH>
            <wp14:sizeRelV relativeFrom="page">
              <wp14:pctHeight>0</wp14:pctHeight>
            </wp14:sizeRelV>
          </wp:anchor>
        </w:drawing>
      </w:r>
    </w:p>
    <w:p w14:paraId="0345C99E" w14:textId="77777777" w:rsidR="002A0FED" w:rsidRDefault="002A0FED" w:rsidP="002A0FED">
      <w:pPr>
        <w:spacing w:after="480"/>
        <w:ind w:firstLine="1276"/>
        <w:jc w:val="both"/>
        <w:rPr>
          <w:b/>
        </w:rPr>
      </w:pPr>
      <w:r>
        <w:rPr>
          <w:b/>
        </w:rPr>
        <w:t>CASE STUDY</w:t>
      </w:r>
    </w:p>
    <w:p w14:paraId="27546C52" w14:textId="0F98AC81" w:rsidR="002A0FED" w:rsidRPr="00E002DF" w:rsidRDefault="002A0FED" w:rsidP="002A0FED">
      <w:pPr>
        <w:rPr>
          <w:b/>
          <w:i/>
        </w:rPr>
      </w:pPr>
      <w:r w:rsidRPr="00E002DF">
        <w:rPr>
          <w:b/>
          <w:i/>
        </w:rPr>
        <w:t>Service providers make improvements to complaints management procedures</w:t>
      </w:r>
    </w:p>
    <w:p w14:paraId="072EBB75" w14:textId="1D3F65A3" w:rsidR="002A0FED" w:rsidRDefault="00BF32BA" w:rsidP="002A0FED">
      <w:pPr>
        <w:spacing w:before="120"/>
        <w:jc w:val="both"/>
        <w:rPr>
          <w:b/>
        </w:rPr>
      </w:pPr>
      <w:r>
        <w:rPr>
          <w:noProof/>
          <w:lang w:eastAsia="en-AU"/>
        </w:rPr>
        <mc:AlternateContent>
          <mc:Choice Requires="wps">
            <w:drawing>
              <wp:anchor distT="0" distB="0" distL="114300" distR="114300" simplePos="0" relativeHeight="252722176" behindDoc="0" locked="0" layoutInCell="1" allowOverlap="1" wp14:anchorId="718FED5C" wp14:editId="63F6796D">
                <wp:simplePos x="0" y="0"/>
                <wp:positionH relativeFrom="column">
                  <wp:posOffset>2845689</wp:posOffset>
                </wp:positionH>
                <wp:positionV relativeFrom="paragraph">
                  <wp:posOffset>-1240409</wp:posOffset>
                </wp:positionV>
                <wp:extent cx="0" cy="2401824"/>
                <wp:effectExtent l="0" t="0" r="19050" b="17780"/>
                <wp:wrapNone/>
                <wp:docPr id="302" name="Straight Connector 302"/>
                <wp:cNvGraphicFramePr/>
                <a:graphic xmlns:a="http://schemas.openxmlformats.org/drawingml/2006/main">
                  <a:graphicData uri="http://schemas.microsoft.com/office/word/2010/wordprocessingShape">
                    <wps:wsp>
                      <wps:cNvCnPr/>
                      <wps:spPr>
                        <a:xfrm>
                          <a:off x="0" y="0"/>
                          <a:ext cx="0" cy="2401824"/>
                        </a:xfrm>
                        <a:prstGeom prst="line">
                          <a:avLst/>
                        </a:prstGeom>
                        <a:ln>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02" o:spid="_x0000_s1026" style="position:absolute;z-index:252722176;visibility:visible;mso-wrap-style:square;mso-wrap-distance-left:9pt;mso-wrap-distance-top:0;mso-wrap-distance-right:9pt;mso-wrap-distance-bottom:0;mso-position-horizontal:absolute;mso-position-horizontal-relative:text;mso-position-vertical:absolute;mso-position-vertical-relative:text" from="224.05pt,-97.65pt" to="224.05pt,9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" strokecolor="#002060"/>
            </w:pict>
          </mc:Fallback>
        </mc:AlternateContent>
      </w:r>
      <w:r w:rsidR="002A0FED">
        <w:t xml:space="preserve">While managing individual complaints, we often identify that complaints management procedures could be improved. Examples of </w:t>
      </w:r>
      <w:r w:rsidR="00B0321F">
        <w:t xml:space="preserve">dissatisfaction expressed by </w:t>
      </w:r>
      <w:r w:rsidR="002A0FED">
        <w:t xml:space="preserve">individuals includes a lack of response or timely response </w:t>
      </w:r>
      <w:r w:rsidR="002A0FED">
        <w:br w:type="column"/>
      </w:r>
      <w:r w:rsidR="002A0FED">
        <w:lastRenderedPageBreak/>
        <w:br/>
      </w:r>
      <w:r w:rsidR="002A0FED">
        <w:br/>
      </w:r>
      <w:r w:rsidR="002A0FED">
        <w:br/>
        <w:t>to their complaint and that the service provider did not have a clear complaints management process in place. In these circumstances, HaDSCO works with service providers to ensure that feedback and complaints procedures are clear and easily accessible to individuals wishing to make complaints. Further, that there is a central coordination area and dedicated staff responsible for managing complaints in a timely manner.</w:t>
      </w:r>
    </w:p>
    <w:p w14:paraId="5D6A6550" w14:textId="77777777" w:rsidR="00817955" w:rsidRDefault="00817955" w:rsidP="00CB1C88">
      <w:pPr>
        <w:spacing w:after="200" w:line="276" w:lineRule="auto"/>
      </w:pPr>
    </w:p>
    <w:p w14:paraId="30B61B19" w14:textId="77777777" w:rsidR="00817955" w:rsidRDefault="00817955" w:rsidP="00CB1C88">
      <w:pPr>
        <w:spacing w:after="200" w:line="276" w:lineRule="auto"/>
        <w:sectPr w:rsidR="00817955" w:rsidSect="002A0FED">
          <w:type w:val="continuous"/>
          <w:pgSz w:w="11907" w:h="16840" w:code="9"/>
          <w:pgMar w:top="1134" w:right="1440" w:bottom="1440" w:left="1701" w:header="720" w:footer="709" w:gutter="0"/>
          <w:cols w:num="2" w:space="720"/>
          <w:titlePg/>
          <w:docGrid w:linePitch="326"/>
        </w:sectPr>
      </w:pPr>
    </w:p>
    <w:p w14:paraId="08F228E1" w14:textId="39715AC3" w:rsidR="00CB1C88" w:rsidRDefault="00CB1C88" w:rsidP="00CB1C88">
      <w:pPr>
        <w:jc w:val="both"/>
      </w:pPr>
      <w:r w:rsidRPr="00B60653">
        <w:lastRenderedPageBreak/>
        <w:t xml:space="preserve">The </w:t>
      </w:r>
      <w:r>
        <w:t>complaint issue categories</w:t>
      </w:r>
      <w:r w:rsidRPr="00B60653">
        <w:t xml:space="preserve"> identified in </w:t>
      </w:r>
      <w:r>
        <w:t xml:space="preserve">the </w:t>
      </w:r>
      <w:r w:rsidRPr="00B60653">
        <w:t xml:space="preserve">complaints </w:t>
      </w:r>
      <w:r w:rsidRPr="00942237">
        <w:t xml:space="preserve">about health services closed by HaDSCO </w:t>
      </w:r>
      <w:r>
        <w:t>over the last three years are shown in Figure 11</w:t>
      </w:r>
      <w:r w:rsidRPr="00942237">
        <w:t>.</w:t>
      </w:r>
      <w:r>
        <w:t xml:space="preserve"> Within each complaint category, a variety of specific issues may be identified by the individual making the complaint.</w:t>
      </w:r>
    </w:p>
    <w:p w14:paraId="4D16EAD2" w14:textId="77777777" w:rsidR="00CB1C88" w:rsidRDefault="00CB1C88" w:rsidP="00CB1C88">
      <w:pPr>
        <w:jc w:val="both"/>
      </w:pPr>
    </w:p>
    <w:p w14:paraId="033B6524" w14:textId="204C4EEE" w:rsidR="00CB1C88" w:rsidRDefault="00CB1C88" w:rsidP="00CB1C88">
      <w:pPr>
        <w:pStyle w:val="Normal-L3"/>
        <w:spacing w:line="276" w:lineRule="auto"/>
        <w:jc w:val="both"/>
        <w:rPr>
          <w:rFonts w:eastAsiaTheme="majorEastAsia" w:cstheme="majorBidi"/>
          <w:b/>
          <w:bCs/>
          <w:color w:val="000000" w:themeColor="text1"/>
          <w:szCs w:val="24"/>
        </w:rPr>
      </w:pPr>
      <w:r>
        <w:rPr>
          <w:rFonts w:eastAsiaTheme="majorEastAsia" w:cstheme="majorBidi"/>
          <w:b/>
          <w:bCs/>
          <w:color w:val="000000" w:themeColor="text1"/>
          <w:szCs w:val="24"/>
        </w:rPr>
        <w:t>Figure 11: Complaint categories</w:t>
      </w:r>
      <w:r>
        <w:rPr>
          <w:rStyle w:val="FootnoteReference"/>
          <w:rFonts w:eastAsiaTheme="majorEastAsia" w:cstheme="majorBidi"/>
          <w:b/>
          <w:bCs/>
          <w:color w:val="000000" w:themeColor="text1"/>
          <w:szCs w:val="24"/>
        </w:rPr>
        <w:footnoteReference w:id="2"/>
      </w:r>
    </w:p>
    <w:p w14:paraId="18A3CA4E" w14:textId="77777777" w:rsidR="00CB1C88" w:rsidRDefault="00CB1C88" w:rsidP="00CB1C88">
      <w:pPr>
        <w:jc w:val="both"/>
      </w:pPr>
      <w:r w:rsidRPr="008E78AE">
        <w:rPr>
          <w:noProof/>
          <w:lang w:eastAsia="en-AU"/>
        </w:rPr>
        <w:drawing>
          <wp:inline distT="0" distB="0" distL="0" distR="0" wp14:anchorId="0FA54FD9" wp14:editId="53F4E9CF">
            <wp:extent cx="5400000" cy="5400000"/>
            <wp:effectExtent l="0" t="0" r="10795" b="1079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E94DCF7" w14:textId="77777777" w:rsidR="00CB1C88" w:rsidRDefault="00CB1C88" w:rsidP="00CB1C88">
      <w:pPr>
        <w:jc w:val="both"/>
        <w:rPr>
          <w:i/>
          <w:sz w:val="16"/>
          <w:szCs w:val="20"/>
        </w:rPr>
      </w:pPr>
    </w:p>
    <w:p w14:paraId="0FEDDD47" w14:textId="77777777" w:rsidR="00CB1C88" w:rsidRPr="00B3117C" w:rsidRDefault="00CB1C88" w:rsidP="00CB1C88">
      <w:pPr>
        <w:jc w:val="both"/>
        <w:rPr>
          <w:i/>
          <w:sz w:val="16"/>
          <w:szCs w:val="20"/>
        </w:rPr>
      </w:pPr>
      <w:r w:rsidRPr="00B3117C">
        <w:rPr>
          <w:i/>
          <w:sz w:val="16"/>
          <w:szCs w:val="20"/>
        </w:rPr>
        <w:t>Percentage of all health complaints closed in the financial year. Because multiple issues can be identified per complaint, percentages will not sum 100%.</w:t>
      </w:r>
      <w:r>
        <w:rPr>
          <w:i/>
          <w:sz w:val="16"/>
          <w:szCs w:val="20"/>
        </w:rPr>
        <w:t xml:space="preserve"> Complaint issues were not recorded for three complaints in 2015-16.</w:t>
      </w:r>
    </w:p>
    <w:p w14:paraId="334EB5B3" w14:textId="77777777" w:rsidR="00CB1C88" w:rsidRDefault="00CB1C88" w:rsidP="00CB1C88">
      <w:pPr>
        <w:rPr>
          <w:b/>
        </w:rPr>
      </w:pPr>
    </w:p>
    <w:p w14:paraId="6D9D63C0" w14:textId="77777777" w:rsidR="00CB1C88" w:rsidRDefault="00CB1C88" w:rsidP="00CB1C88">
      <w:r>
        <w:t>In 2017-18, t</w:t>
      </w:r>
      <w:r w:rsidRPr="005210D3">
        <w:t>he majority of</w:t>
      </w:r>
      <w:r>
        <w:t xml:space="preserve"> complaints concerned treatment;</w:t>
      </w:r>
      <w:r w:rsidRPr="005210D3">
        <w:t xml:space="preserve"> communication and information</w:t>
      </w:r>
      <w:r>
        <w:t>;</w:t>
      </w:r>
      <w:r w:rsidRPr="005210D3">
        <w:t xml:space="preserve"> fees and costs</w:t>
      </w:r>
      <w:r>
        <w:t>;</w:t>
      </w:r>
      <w:r w:rsidRPr="005210D3">
        <w:t xml:space="preserve"> and access. </w:t>
      </w:r>
      <w:r>
        <w:t>A number of trends were observed over the past three years in relation to the complaint categories identified in health complaints:</w:t>
      </w:r>
    </w:p>
    <w:p w14:paraId="4A08A0C7" w14:textId="77777777" w:rsidR="00CB1C88" w:rsidRDefault="00CB1C88" w:rsidP="00CB1C88"/>
    <w:p w14:paraId="480CDF04" w14:textId="77777777" w:rsidR="00CB1C88" w:rsidRDefault="00CB1C88" w:rsidP="000B6A67">
      <w:pPr>
        <w:pStyle w:val="ListParagraph"/>
        <w:numPr>
          <w:ilvl w:val="0"/>
          <w:numId w:val="41"/>
        </w:numPr>
      </w:pPr>
      <w:r>
        <w:t>Treatment continues to be the most commonly raised concern, with 42% of complaints managed by the office in 2017-18 dealing with at least one treatment issue.</w:t>
      </w:r>
    </w:p>
    <w:p w14:paraId="30D4656F" w14:textId="0BEEE253" w:rsidR="00CB1C88" w:rsidRDefault="00CB1C88" w:rsidP="000B6A67">
      <w:pPr>
        <w:pStyle w:val="ListParagraph"/>
        <w:numPr>
          <w:ilvl w:val="0"/>
          <w:numId w:val="41"/>
        </w:numPr>
      </w:pPr>
      <w:r>
        <w:lastRenderedPageBreak/>
        <w:t xml:space="preserve">There has been an increase in the proportion of complaints that identified a concern with communication and information in 2017-18; </w:t>
      </w:r>
      <w:r w:rsidRPr="004333F0">
        <w:t>the proportion increased from 17% in 2016-17 to 25% in 2017-18.</w:t>
      </w:r>
    </w:p>
    <w:p w14:paraId="5F442A04" w14:textId="77777777" w:rsidR="00CB1C88" w:rsidRDefault="00CB1C88" w:rsidP="000B6A67">
      <w:pPr>
        <w:pStyle w:val="ListParagraph"/>
        <w:numPr>
          <w:ilvl w:val="0"/>
          <w:numId w:val="41"/>
        </w:numPr>
      </w:pPr>
      <w:r>
        <w:t>The proportion of complaints identifying medication issues continued to increase, with 11% of complaints identifying this complaint category, compared to 9% in 2016-17 and 6% in 2015-16.</w:t>
      </w:r>
    </w:p>
    <w:p w14:paraId="550CBB5C" w14:textId="77777777" w:rsidR="00CB1C88" w:rsidRDefault="00CB1C88" w:rsidP="000B6A67">
      <w:pPr>
        <w:pStyle w:val="ListParagraph"/>
        <w:numPr>
          <w:ilvl w:val="0"/>
          <w:numId w:val="41"/>
        </w:numPr>
      </w:pPr>
      <w:r>
        <w:t>The proportion of complaints identifying professional conduct issues continued to decrease, with 4% of complaints identifying this complaint category, compared to 7% in 2016-17 and 8% in 2015-16.</w:t>
      </w:r>
    </w:p>
    <w:p w14:paraId="647CA571" w14:textId="77777777" w:rsidR="00CB1C88" w:rsidRDefault="00CB1C88" w:rsidP="00CB1C88"/>
    <w:p w14:paraId="1CE3C4E8" w14:textId="77777777" w:rsidR="00CB1C88" w:rsidRDefault="00CB1C88" w:rsidP="00CB1C88">
      <w:r>
        <w:t>The proportion of health complaints identifying the remaining complaint categories was generally consistent over the past three years.</w:t>
      </w:r>
    </w:p>
    <w:p w14:paraId="6905BE7D" w14:textId="77777777" w:rsidR="00CB1C88" w:rsidRDefault="00CB1C88" w:rsidP="00CB1C88"/>
    <w:p w14:paraId="1C69A2D2" w14:textId="714C1DFD" w:rsidR="00CB1C88" w:rsidRDefault="00CB1C88" w:rsidP="00CB1C88">
      <w:r w:rsidRPr="000E0327">
        <w:t xml:space="preserve">For a detailed breakdown of the </w:t>
      </w:r>
      <w:r>
        <w:t>specific</w:t>
      </w:r>
      <w:r w:rsidRPr="000E0327">
        <w:t xml:space="preserve"> complaint issues identified within each complaint category</w:t>
      </w:r>
      <w:r>
        <w:t xml:space="preserve"> in Figure 11</w:t>
      </w:r>
      <w:r w:rsidRPr="000E0327">
        <w:t xml:space="preserve">, please </w:t>
      </w:r>
      <w:r>
        <w:t>refer to</w:t>
      </w:r>
      <w:r w:rsidR="008E171B">
        <w:t xml:space="preserve"> Appendix 5.2</w:t>
      </w:r>
      <w:r w:rsidRPr="000E0327">
        <w:t>.</w:t>
      </w:r>
    </w:p>
    <w:p w14:paraId="085808A7" w14:textId="207A1859" w:rsidR="00200C77" w:rsidRDefault="00200C77" w:rsidP="00CB1C88"/>
    <w:p w14:paraId="73788B08" w14:textId="77777777" w:rsidR="008F7BF8" w:rsidRDefault="008F7BF8" w:rsidP="00CB1C88">
      <w:pPr>
        <w:sectPr w:rsidR="008F7BF8" w:rsidSect="00817955">
          <w:pgSz w:w="11907" w:h="16840" w:code="9"/>
          <w:pgMar w:top="1134" w:right="1440" w:bottom="1440" w:left="1440" w:header="720" w:footer="709" w:gutter="0"/>
          <w:cols w:space="720"/>
          <w:titlePg/>
          <w:docGrid w:linePitch="326"/>
        </w:sectPr>
      </w:pPr>
    </w:p>
    <w:p w14:paraId="61EAD27A" w14:textId="1D688B4D" w:rsidR="00D15CA7" w:rsidRDefault="00D15CA7" w:rsidP="00D15CA7">
      <w:pPr>
        <w:jc w:val="both"/>
        <w:rPr>
          <w:b/>
        </w:rPr>
      </w:pPr>
    </w:p>
    <w:p w14:paraId="5DF200EB" w14:textId="4B54A876" w:rsidR="00D15CA7" w:rsidRDefault="00105030" w:rsidP="00D15CA7">
      <w:pPr>
        <w:spacing w:after="480"/>
        <w:ind w:firstLine="1276"/>
        <w:jc w:val="both"/>
        <w:rPr>
          <w:b/>
        </w:rPr>
      </w:pPr>
      <w:r>
        <w:rPr>
          <w:b/>
          <w:noProof/>
          <w:lang w:eastAsia="en-AU"/>
        </w:rPr>
        <w:drawing>
          <wp:anchor distT="0" distB="0" distL="114300" distR="114300" simplePos="0" relativeHeight="252744704" behindDoc="0" locked="0" layoutInCell="1" allowOverlap="1" wp14:anchorId="56C5B937" wp14:editId="3999EC95">
            <wp:simplePos x="0" y="0"/>
            <wp:positionH relativeFrom="margin">
              <wp:posOffset>37988</wp:posOffset>
            </wp:positionH>
            <wp:positionV relativeFrom="paragraph">
              <wp:posOffset>248920</wp:posOffset>
            </wp:positionV>
            <wp:extent cx="638810" cy="638810"/>
            <wp:effectExtent l="0" t="0" r="8890" b="889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8810" cy="638810"/>
                    </a:xfrm>
                    <a:prstGeom prst="rect">
                      <a:avLst/>
                    </a:prstGeom>
                  </pic:spPr>
                </pic:pic>
              </a:graphicData>
            </a:graphic>
            <wp14:sizeRelH relativeFrom="page">
              <wp14:pctWidth>0</wp14:pctWidth>
            </wp14:sizeRelH>
            <wp14:sizeRelV relativeFrom="page">
              <wp14:pctHeight>0</wp14:pctHeight>
            </wp14:sizeRelV>
          </wp:anchor>
        </w:drawing>
      </w:r>
      <w:r w:rsidR="000F3B3F" w:rsidRPr="00D15CA7">
        <w:rPr>
          <w:noProof/>
          <w:lang w:eastAsia="en-AU"/>
        </w:rPr>
        <mc:AlternateContent>
          <mc:Choice Requires="wps">
            <w:drawing>
              <wp:anchor distT="0" distB="0" distL="114300" distR="114300" simplePos="0" relativeHeight="252726272" behindDoc="1" locked="0" layoutInCell="1" allowOverlap="1" wp14:anchorId="265A0370" wp14:editId="09CF93B5">
                <wp:simplePos x="0" y="0"/>
                <wp:positionH relativeFrom="margin">
                  <wp:posOffset>-128905</wp:posOffset>
                </wp:positionH>
                <wp:positionV relativeFrom="paragraph">
                  <wp:posOffset>103505</wp:posOffset>
                </wp:positionV>
                <wp:extent cx="5968365" cy="3962400"/>
                <wp:effectExtent l="0" t="0" r="13335" b="19050"/>
                <wp:wrapNone/>
                <wp:docPr id="306" name="Rectangle 306"/>
                <wp:cNvGraphicFramePr/>
                <a:graphic xmlns:a="http://schemas.openxmlformats.org/drawingml/2006/main">
                  <a:graphicData uri="http://schemas.microsoft.com/office/word/2010/wordprocessingShape">
                    <wps:wsp>
                      <wps:cNvSpPr/>
                      <wps:spPr>
                        <a:xfrm>
                          <a:off x="0" y="0"/>
                          <a:ext cx="5968365" cy="3962400"/>
                        </a:xfrm>
                        <a:prstGeom prst="rect">
                          <a:avLst/>
                        </a:prstGeom>
                        <a:solidFill>
                          <a:schemeClr val="bg1">
                            <a:lumMod val="75000"/>
                            <a:alpha val="40000"/>
                          </a:schemeClr>
                        </a:solidFill>
                        <a:ln w="254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6" o:spid="_x0000_s1026" style="position:absolute;margin-left:-10.15pt;margin-top:8.15pt;width:469.95pt;height:312pt;z-index:-250590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" fillcolor="#bfbfbf [2412]" strokecolor="#002060" strokeweight="2pt">
                <v:fill opacity="26214f"/>
                <w10:wrap anchorx="margin"/>
              </v:rect>
            </w:pict>
          </mc:Fallback>
        </mc:AlternateContent>
      </w:r>
    </w:p>
    <w:p w14:paraId="2FF2941A" w14:textId="48B077E7" w:rsidR="00D15CA7" w:rsidRDefault="00D15CA7" w:rsidP="00D15CA7">
      <w:pPr>
        <w:spacing w:after="480"/>
        <w:ind w:firstLine="1276"/>
        <w:jc w:val="both"/>
        <w:rPr>
          <w:b/>
        </w:rPr>
      </w:pPr>
      <w:r>
        <w:rPr>
          <w:b/>
        </w:rPr>
        <w:t>CASE STUDY</w:t>
      </w:r>
    </w:p>
    <w:p w14:paraId="0828786C" w14:textId="77777777" w:rsidR="00D15CA7" w:rsidRPr="00E002DF" w:rsidRDefault="00D15CA7" w:rsidP="00D15CA7">
      <w:pPr>
        <w:rPr>
          <w:b/>
          <w:i/>
        </w:rPr>
      </w:pPr>
      <w:r w:rsidRPr="00E002DF">
        <w:rPr>
          <w:b/>
          <w:i/>
        </w:rPr>
        <w:t xml:space="preserve">Pharmacy improves information provided to consumers regarding the appropriate storage of injectable vaccines </w:t>
      </w:r>
    </w:p>
    <w:p w14:paraId="6C2538C4" w14:textId="77777777" w:rsidR="00D15CA7" w:rsidRDefault="00D15CA7" w:rsidP="000F3B3F">
      <w:pPr>
        <w:spacing w:before="120"/>
      </w:pPr>
      <w:r>
        <w:t xml:space="preserve">An individual attended the local pharmacy to purchase a vaccine in preparation for overseas travel. The individual attended the General Practitioner the following day to have the vaccine administered but was informed that the vaccine could not be used because it had been left out of the fridge for more than an hour. </w:t>
      </w:r>
    </w:p>
    <w:p w14:paraId="11258C0C" w14:textId="58116388" w:rsidR="00D15CA7" w:rsidRDefault="00523A4E" w:rsidP="00D15CA7">
      <w:pPr>
        <w:spacing w:before="120"/>
      </w:pPr>
      <w:r>
        <w:rPr>
          <w:noProof/>
          <w:lang w:eastAsia="en-AU"/>
        </w:rPr>
        <mc:AlternateContent>
          <mc:Choice Requires="wps">
            <w:drawing>
              <wp:anchor distT="0" distB="0" distL="114300" distR="114300" simplePos="0" relativeHeight="252729344" behindDoc="0" locked="0" layoutInCell="1" allowOverlap="1" wp14:anchorId="06281E90" wp14:editId="73CF5FF4">
                <wp:simplePos x="0" y="0"/>
                <wp:positionH relativeFrom="column">
                  <wp:posOffset>2855428</wp:posOffset>
                </wp:positionH>
                <wp:positionV relativeFrom="paragraph">
                  <wp:posOffset>-2941320</wp:posOffset>
                </wp:positionV>
                <wp:extent cx="0" cy="3513221"/>
                <wp:effectExtent l="0" t="0" r="19050" b="11430"/>
                <wp:wrapNone/>
                <wp:docPr id="316" name="Straight Connector 316"/>
                <wp:cNvGraphicFramePr/>
                <a:graphic xmlns:a="http://schemas.openxmlformats.org/drawingml/2006/main">
                  <a:graphicData uri="http://schemas.microsoft.com/office/word/2010/wordprocessingShape">
                    <wps:wsp>
                      <wps:cNvCnPr/>
                      <wps:spPr>
                        <a:xfrm>
                          <a:off x="0" y="0"/>
                          <a:ext cx="0" cy="3513221"/>
                        </a:xfrm>
                        <a:prstGeom prst="line">
                          <a:avLst/>
                        </a:prstGeom>
                        <a:ln>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316" o:spid="_x0000_s1026" style="position:absolute;z-index:252729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4.85pt,-231.6pt" to="224.85pt,4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" strokecolor="#002060"/>
            </w:pict>
          </mc:Fallback>
        </mc:AlternateContent>
      </w:r>
      <w:r w:rsidR="00D15CA7">
        <w:t xml:space="preserve">The individual lodged a complaint with HaDSCO stating that he was not informed by the pharmacy staff at the </w:t>
      </w:r>
      <w:r w:rsidR="00D15CA7">
        <w:br w:type="column"/>
      </w:r>
      <w:r w:rsidR="00D15CA7">
        <w:lastRenderedPageBreak/>
        <w:br/>
      </w:r>
      <w:r w:rsidR="00D15CA7">
        <w:br/>
      </w:r>
      <w:r w:rsidR="00D15CA7">
        <w:br/>
        <w:t>time he collected the vaccine that it needed to be refrigerated.</w:t>
      </w:r>
      <w:r w:rsidR="00D15CA7" w:rsidRPr="00AF4F39">
        <w:rPr>
          <w:b/>
          <w:noProof/>
        </w:rPr>
        <w:t xml:space="preserve"> </w:t>
      </w:r>
      <w:r w:rsidR="00D15CA7">
        <w:t xml:space="preserve">Through HaDSCO’s negotiated settlement process, the pharmacy offered a refund as a good will gesture. </w:t>
      </w:r>
    </w:p>
    <w:p w14:paraId="6A74F617" w14:textId="77777777" w:rsidR="00D15CA7" w:rsidRDefault="00D15CA7" w:rsidP="00D15CA7">
      <w:pPr>
        <w:spacing w:before="120"/>
      </w:pPr>
      <w:r>
        <w:t xml:space="preserve">The pharmacy also contacted the manufacturer regarding the safe storage of vaccines and they reviewed their ordering and dispensing process. </w:t>
      </w:r>
    </w:p>
    <w:p w14:paraId="5B1A21F0" w14:textId="10B5039D" w:rsidR="008F7BF8" w:rsidRDefault="00D15CA7" w:rsidP="00D15CA7">
      <w:pPr>
        <w:spacing w:before="120"/>
      </w:pPr>
      <w:r>
        <w:t>It was agreed that</w:t>
      </w:r>
      <w:r w:rsidR="001659B0">
        <w:t>, in future,</w:t>
      </w:r>
      <w:r>
        <w:t xml:space="preserve"> individuals will be informed that the vaccine should be kept refrigerated. They will also be asked if the vaccine will be administered within the hour. If not, they will be asked to bring a freezer bag or ice pack when the vaccine is collected.</w:t>
      </w:r>
    </w:p>
    <w:p w14:paraId="31DC54F9" w14:textId="77777777" w:rsidR="00D15CA7" w:rsidRDefault="00D15CA7" w:rsidP="00CB1C88"/>
    <w:p w14:paraId="7BA67FFC" w14:textId="77777777" w:rsidR="00217D70" w:rsidRDefault="00217D70" w:rsidP="00CB1C88"/>
    <w:p w14:paraId="3D88E5B3" w14:textId="77777777" w:rsidR="00217D70" w:rsidRDefault="00217D70" w:rsidP="00CB1C88"/>
    <w:p w14:paraId="47E0E74F" w14:textId="77777777" w:rsidR="00217D70" w:rsidRDefault="00217D70" w:rsidP="00CB1C88"/>
    <w:p w14:paraId="6820ED24" w14:textId="0857D579" w:rsidR="008F7BF8" w:rsidRDefault="008F7BF8" w:rsidP="00CB1C88">
      <w:pPr>
        <w:sectPr w:rsidR="008F7BF8" w:rsidSect="008F7BF8">
          <w:type w:val="continuous"/>
          <w:pgSz w:w="11907" w:h="16840" w:code="9"/>
          <w:pgMar w:top="1134" w:right="1440" w:bottom="1440" w:left="1440" w:header="720" w:footer="709" w:gutter="0"/>
          <w:cols w:num="2" w:space="720"/>
          <w:titlePg/>
          <w:docGrid w:linePitch="326"/>
        </w:sectPr>
      </w:pPr>
    </w:p>
    <w:p w14:paraId="32E57915" w14:textId="77777777" w:rsidR="00CB1C88" w:rsidRDefault="00CB1C88" w:rsidP="00CB1C88">
      <w:pPr>
        <w:rPr>
          <w:b/>
        </w:rPr>
      </w:pPr>
      <w:r>
        <w:rPr>
          <w:b/>
        </w:rPr>
        <w:lastRenderedPageBreak/>
        <w:t xml:space="preserve">Health service types </w:t>
      </w:r>
    </w:p>
    <w:p w14:paraId="2862E855" w14:textId="77777777" w:rsidR="00CB1C88" w:rsidRDefault="00CB1C88" w:rsidP="00CB1C88">
      <w:pPr>
        <w:rPr>
          <w:b/>
        </w:rPr>
      </w:pPr>
    </w:p>
    <w:p w14:paraId="7577C637" w14:textId="52DD3B9A" w:rsidR="00CB1C88" w:rsidRDefault="00CB1C88" w:rsidP="00CB1C88">
      <w:r>
        <w:t>The specific health service types identified in complaints closed by the Office are shown in Figure 12</w:t>
      </w:r>
      <w:r w:rsidRPr="00F23FA8">
        <w:t xml:space="preserve">. Due to the large number of service types identified, only the most common service types </w:t>
      </w:r>
      <w:r>
        <w:t>are reported</w:t>
      </w:r>
      <w:r w:rsidRPr="00F23FA8">
        <w:t>.</w:t>
      </w:r>
    </w:p>
    <w:p w14:paraId="0EFC14CF" w14:textId="77777777" w:rsidR="00CB1C88" w:rsidRDefault="00CB1C88" w:rsidP="00CB1C88"/>
    <w:p w14:paraId="77B7012B" w14:textId="77777777" w:rsidR="00CB1C88" w:rsidRPr="00D83DFB" w:rsidRDefault="00CB1C88" w:rsidP="00CB1C88">
      <w:r w:rsidRPr="00D83DFB">
        <w:t>T</w:t>
      </w:r>
      <w:r>
        <w:t>he service types that were mo</w:t>
      </w:r>
      <w:r w:rsidRPr="002E65AB">
        <w:t>st frequently t</w:t>
      </w:r>
      <w:r>
        <w:t>he subject of complaints in 2017-18</w:t>
      </w:r>
      <w:r w:rsidRPr="002E65AB">
        <w:t xml:space="preserve"> were prison healt</w:t>
      </w:r>
      <w:r>
        <w:t>h services (19</w:t>
      </w:r>
      <w:r w:rsidRPr="002E65AB">
        <w:t>%)</w:t>
      </w:r>
      <w:r>
        <w:t xml:space="preserve">, </w:t>
      </w:r>
      <w:r w:rsidRPr="002E65AB">
        <w:t xml:space="preserve">general practices and practitioners (19%), and </w:t>
      </w:r>
      <w:r>
        <w:t>d</w:t>
      </w:r>
      <w:r w:rsidRPr="002E65AB">
        <w:t xml:space="preserve">ental health services (10%). </w:t>
      </w:r>
    </w:p>
    <w:p w14:paraId="46A11F25" w14:textId="77777777" w:rsidR="00CB1C88" w:rsidRDefault="00CB1C88" w:rsidP="00CB1C88"/>
    <w:p w14:paraId="2E34AD14" w14:textId="1AE5B0ED" w:rsidR="00CB1C88" w:rsidRDefault="00CB1C88" w:rsidP="00CB1C88">
      <w:pPr>
        <w:pStyle w:val="Normal-L3"/>
        <w:spacing w:line="276" w:lineRule="auto"/>
        <w:rPr>
          <w:rFonts w:eastAsiaTheme="majorEastAsia" w:cstheme="majorBidi"/>
          <w:b/>
          <w:bCs/>
          <w:color w:val="000000" w:themeColor="text1"/>
          <w:szCs w:val="24"/>
        </w:rPr>
      </w:pPr>
      <w:r w:rsidRPr="00F23FA8">
        <w:rPr>
          <w:rFonts w:eastAsiaTheme="majorEastAsia" w:cstheme="majorBidi"/>
          <w:b/>
          <w:bCs/>
          <w:color w:val="000000" w:themeColor="text1"/>
          <w:szCs w:val="24"/>
        </w:rPr>
        <w:t xml:space="preserve">Figure </w:t>
      </w:r>
      <w:r>
        <w:rPr>
          <w:rFonts w:eastAsiaTheme="majorEastAsia" w:cstheme="majorBidi"/>
          <w:b/>
          <w:bCs/>
          <w:color w:val="000000" w:themeColor="text1"/>
          <w:szCs w:val="24"/>
        </w:rPr>
        <w:t>12</w:t>
      </w:r>
      <w:r w:rsidRPr="00F23FA8">
        <w:rPr>
          <w:rFonts w:eastAsiaTheme="majorEastAsia" w:cstheme="majorBidi"/>
          <w:b/>
          <w:bCs/>
          <w:color w:val="000000" w:themeColor="text1"/>
          <w:szCs w:val="24"/>
        </w:rPr>
        <w:t>: Health service types</w:t>
      </w:r>
    </w:p>
    <w:p w14:paraId="35E09B8D" w14:textId="77777777" w:rsidR="00CB1C88" w:rsidRDefault="00CB1C88" w:rsidP="00CB1C88">
      <w:r w:rsidRPr="008E78AE">
        <w:rPr>
          <w:noProof/>
          <w:lang w:eastAsia="en-AU"/>
        </w:rPr>
        <w:drawing>
          <wp:inline distT="0" distB="0" distL="0" distR="0" wp14:anchorId="75BA89F4" wp14:editId="104B5B17">
            <wp:extent cx="4676775" cy="5040000"/>
            <wp:effectExtent l="0" t="0" r="9525" b="2730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4BC4E69" w14:textId="77777777" w:rsidR="00CB1C88" w:rsidRDefault="00CB1C88" w:rsidP="00CB1C88">
      <w:pPr>
        <w:rPr>
          <w:i/>
          <w:sz w:val="16"/>
          <w:szCs w:val="16"/>
        </w:rPr>
      </w:pPr>
    </w:p>
    <w:p w14:paraId="4718D1FC" w14:textId="77777777" w:rsidR="00CB1C88" w:rsidRDefault="00CB1C88" w:rsidP="00CB1C88">
      <w:pPr>
        <w:rPr>
          <w:i/>
          <w:sz w:val="18"/>
          <w:szCs w:val="18"/>
        </w:rPr>
      </w:pPr>
      <w:r>
        <w:rPr>
          <w:i/>
          <w:sz w:val="16"/>
          <w:szCs w:val="16"/>
        </w:rPr>
        <w:t>Totals may not sum to 100% due to rounding.</w:t>
      </w:r>
    </w:p>
    <w:p w14:paraId="1E3C8119" w14:textId="77777777" w:rsidR="00CB1C88" w:rsidRPr="00C56A53" w:rsidRDefault="00CB1C88" w:rsidP="00CB1C88">
      <w:pPr>
        <w:rPr>
          <w:i/>
          <w:sz w:val="16"/>
          <w:szCs w:val="16"/>
        </w:rPr>
      </w:pPr>
      <w:r w:rsidRPr="00C56A53">
        <w:rPr>
          <w:i/>
          <w:sz w:val="16"/>
          <w:szCs w:val="16"/>
        </w:rPr>
        <w:t xml:space="preserve">* This category includes a wide range of service types, a number of which are associated with health services provided by hospitals and/or specialists. Examples include </w:t>
      </w:r>
      <w:r>
        <w:rPr>
          <w:i/>
          <w:sz w:val="16"/>
          <w:szCs w:val="16"/>
        </w:rPr>
        <w:t>paramedical service, radiologist, pathologist, gastroenterology, pain management, paediatrics</w:t>
      </w:r>
      <w:r w:rsidRPr="00C56A53">
        <w:rPr>
          <w:i/>
          <w:sz w:val="16"/>
          <w:szCs w:val="16"/>
        </w:rPr>
        <w:t xml:space="preserve"> etc. </w:t>
      </w:r>
    </w:p>
    <w:p w14:paraId="123159AD" w14:textId="77777777" w:rsidR="00CB1C88" w:rsidRDefault="00CB1C88" w:rsidP="00CB1C88">
      <w:pPr>
        <w:jc w:val="both"/>
        <w:rPr>
          <w:b/>
        </w:rPr>
      </w:pPr>
    </w:p>
    <w:p w14:paraId="452BFE21" w14:textId="77777777" w:rsidR="00CF47E2" w:rsidRDefault="00CF47E2" w:rsidP="00CF47E2">
      <w:r>
        <w:br w:type="page"/>
      </w:r>
    </w:p>
    <w:p w14:paraId="66094515" w14:textId="40EC52A9" w:rsidR="00CF47E2" w:rsidRDefault="00CF47E2" w:rsidP="00CF47E2">
      <w:r w:rsidRPr="00D46902">
        <w:lastRenderedPageBreak/>
        <w:t xml:space="preserve">There </w:t>
      </w:r>
      <w:r>
        <w:t>has been minimal change</w:t>
      </w:r>
      <w:r w:rsidRPr="00D46902">
        <w:t xml:space="preserve"> in the service types </w:t>
      </w:r>
      <w:r>
        <w:t xml:space="preserve">identified </w:t>
      </w:r>
      <w:r w:rsidRPr="00D46902">
        <w:t xml:space="preserve">in </w:t>
      </w:r>
      <w:r>
        <w:t>health complaints over the past three years</w:t>
      </w:r>
      <w:r w:rsidRPr="00D46902">
        <w:t xml:space="preserve">, with the exception of a </w:t>
      </w:r>
      <w:r>
        <w:t>gradual</w:t>
      </w:r>
      <w:r w:rsidRPr="00D46902">
        <w:t xml:space="preserve"> increase in the number of complaints concerning prison health services.</w:t>
      </w:r>
    </w:p>
    <w:p w14:paraId="7C27F2F1" w14:textId="77777777" w:rsidR="00CF47E2" w:rsidRDefault="00CF47E2" w:rsidP="00CB1C88">
      <w:pPr>
        <w:jc w:val="both"/>
        <w:rPr>
          <w:b/>
        </w:rPr>
        <w:sectPr w:rsidR="00CF47E2" w:rsidSect="008F7BF8">
          <w:pgSz w:w="11907" w:h="16840" w:code="9"/>
          <w:pgMar w:top="1134" w:right="1440" w:bottom="1440" w:left="1440" w:header="720" w:footer="709" w:gutter="0"/>
          <w:cols w:space="720"/>
          <w:titlePg/>
          <w:docGrid w:linePitch="326"/>
        </w:sectPr>
      </w:pPr>
    </w:p>
    <w:p w14:paraId="0A4A012A" w14:textId="50FFB0A1" w:rsidR="00CB1C88" w:rsidRDefault="00CB1C88" w:rsidP="00CB1C88">
      <w:pPr>
        <w:jc w:val="both"/>
        <w:rPr>
          <w:b/>
        </w:rPr>
      </w:pPr>
    </w:p>
    <w:p w14:paraId="239FFB51" w14:textId="77777777" w:rsidR="00CF47E2" w:rsidRDefault="00CF47E2" w:rsidP="00CB1C88">
      <w:pPr>
        <w:jc w:val="both"/>
        <w:rPr>
          <w:b/>
        </w:rPr>
      </w:pPr>
    </w:p>
    <w:p w14:paraId="63FAABD6" w14:textId="77777777" w:rsidR="00CF47E2" w:rsidRDefault="00CF47E2" w:rsidP="00CB1C88">
      <w:pPr>
        <w:jc w:val="both"/>
        <w:rPr>
          <w:b/>
        </w:rPr>
      </w:pPr>
    </w:p>
    <w:p w14:paraId="229F1260" w14:textId="6FA4242C" w:rsidR="00CF47E2" w:rsidRDefault="00CF47E2" w:rsidP="00CB1C88">
      <w:pPr>
        <w:jc w:val="both"/>
        <w:rPr>
          <w:b/>
        </w:rPr>
      </w:pPr>
    </w:p>
    <w:p w14:paraId="4B90BA5A" w14:textId="1E42C31E" w:rsidR="00CF47E2" w:rsidRDefault="00CF47E2" w:rsidP="00CB1C88">
      <w:pPr>
        <w:jc w:val="both"/>
        <w:rPr>
          <w:b/>
        </w:rPr>
      </w:pPr>
      <w:r w:rsidRPr="00CF47E2">
        <w:rPr>
          <w:b/>
          <w:noProof/>
          <w:lang w:eastAsia="en-AU"/>
        </w:rPr>
        <mc:AlternateContent>
          <mc:Choice Requires="wps">
            <w:drawing>
              <wp:anchor distT="0" distB="0" distL="114300" distR="114300" simplePos="0" relativeHeight="252762112" behindDoc="1" locked="0" layoutInCell="1" allowOverlap="1" wp14:anchorId="20B46A06" wp14:editId="20107364">
                <wp:simplePos x="0" y="0"/>
                <wp:positionH relativeFrom="margin">
                  <wp:posOffset>-128796</wp:posOffset>
                </wp:positionH>
                <wp:positionV relativeFrom="paragraph">
                  <wp:posOffset>52070</wp:posOffset>
                </wp:positionV>
                <wp:extent cx="5968365" cy="5409565"/>
                <wp:effectExtent l="0" t="0" r="13335" b="19685"/>
                <wp:wrapNone/>
                <wp:docPr id="326" name="Rectangle 326"/>
                <wp:cNvGraphicFramePr/>
                <a:graphic xmlns:a="http://schemas.openxmlformats.org/drawingml/2006/main">
                  <a:graphicData uri="http://schemas.microsoft.com/office/word/2010/wordprocessingShape">
                    <wps:wsp>
                      <wps:cNvSpPr/>
                      <wps:spPr>
                        <a:xfrm>
                          <a:off x="0" y="0"/>
                          <a:ext cx="5968365" cy="5409565"/>
                        </a:xfrm>
                        <a:prstGeom prst="rect">
                          <a:avLst/>
                        </a:prstGeom>
                        <a:solidFill>
                          <a:schemeClr val="bg1">
                            <a:lumMod val="75000"/>
                            <a:alpha val="40000"/>
                          </a:schemeClr>
                        </a:solidFill>
                        <a:ln w="254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6" o:spid="_x0000_s1026" style="position:absolute;margin-left:-10.15pt;margin-top:4.1pt;width:469.95pt;height:425.95pt;z-index:-250554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" fillcolor="#bfbfbf [2412]" strokecolor="#002060" strokeweight="2pt">
                <v:fill opacity="26214f"/>
                <w10:wrap anchorx="margin"/>
              </v:rect>
            </w:pict>
          </mc:Fallback>
        </mc:AlternateContent>
      </w:r>
      <w:r w:rsidRPr="00CF47E2">
        <w:rPr>
          <w:b/>
          <w:noProof/>
          <w:lang w:eastAsia="en-AU"/>
        </w:rPr>
        <w:drawing>
          <wp:anchor distT="0" distB="0" distL="114300" distR="114300" simplePos="0" relativeHeight="252763136" behindDoc="0" locked="0" layoutInCell="1" allowOverlap="1" wp14:anchorId="6ACF8107" wp14:editId="024415AB">
            <wp:simplePos x="0" y="0"/>
            <wp:positionH relativeFrom="margin">
              <wp:posOffset>152400</wp:posOffset>
            </wp:positionH>
            <wp:positionV relativeFrom="paragraph">
              <wp:posOffset>128270</wp:posOffset>
            </wp:positionV>
            <wp:extent cx="638810" cy="638810"/>
            <wp:effectExtent l="0" t="0" r="8890" b="8890"/>
            <wp:wrapNone/>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8810" cy="638810"/>
                    </a:xfrm>
                    <a:prstGeom prst="rect">
                      <a:avLst/>
                    </a:prstGeom>
                  </pic:spPr>
                </pic:pic>
              </a:graphicData>
            </a:graphic>
            <wp14:sizeRelH relativeFrom="page">
              <wp14:pctWidth>0</wp14:pctWidth>
            </wp14:sizeRelH>
            <wp14:sizeRelV relativeFrom="page">
              <wp14:pctHeight>0</wp14:pctHeight>
            </wp14:sizeRelV>
          </wp:anchor>
        </w:drawing>
      </w:r>
    </w:p>
    <w:p w14:paraId="0A49E17F" w14:textId="77777777" w:rsidR="00CF47E2" w:rsidRDefault="00CF47E2" w:rsidP="00CB1C88">
      <w:pPr>
        <w:jc w:val="both"/>
        <w:rPr>
          <w:b/>
        </w:rPr>
      </w:pPr>
    </w:p>
    <w:p w14:paraId="1CD26F7A" w14:textId="2C4FD69A" w:rsidR="00CF47E2" w:rsidRDefault="00CF47E2" w:rsidP="00CF47E2">
      <w:pPr>
        <w:spacing w:after="480"/>
        <w:ind w:firstLine="1276"/>
        <w:jc w:val="both"/>
        <w:rPr>
          <w:b/>
        </w:rPr>
      </w:pPr>
      <w:r>
        <w:rPr>
          <w:b/>
        </w:rPr>
        <w:t xml:space="preserve">  CASE STUDY</w:t>
      </w:r>
    </w:p>
    <w:p w14:paraId="500B5AC9" w14:textId="77777777" w:rsidR="00CF47E2" w:rsidRPr="00E002DF" w:rsidRDefault="00CF47E2" w:rsidP="00CF47E2">
      <w:pPr>
        <w:rPr>
          <w:b/>
          <w:i/>
        </w:rPr>
      </w:pPr>
      <w:r w:rsidRPr="00E002DF">
        <w:rPr>
          <w:b/>
          <w:i/>
        </w:rPr>
        <w:t>Prison Health complaints</w:t>
      </w:r>
    </w:p>
    <w:p w14:paraId="5EA6A516" w14:textId="77777777" w:rsidR="00CF47E2" w:rsidRDefault="00CF47E2" w:rsidP="005E7F2D">
      <w:pPr>
        <w:spacing w:before="120"/>
      </w:pPr>
      <w:r>
        <w:t xml:space="preserve">HaDSCO receives complaints about prison health services. Prisoners may contact HaDSCO directly, using a direct telephone service or may submit a complaint in writing. </w:t>
      </w:r>
    </w:p>
    <w:p w14:paraId="3A18358D" w14:textId="77777777" w:rsidR="00CF47E2" w:rsidRDefault="00CF47E2" w:rsidP="005E7F2D">
      <w:pPr>
        <w:spacing w:before="120"/>
      </w:pPr>
      <w:r>
        <w:t>A proportion of complaints about prison health services relate to access to medication for drug and alcohol related issues, mental health treatment, the management of chronic health conditions and external health service appointments.</w:t>
      </w:r>
    </w:p>
    <w:p w14:paraId="4DCB4607" w14:textId="32E58B41" w:rsidR="00CF47E2" w:rsidRDefault="00CF47E2" w:rsidP="005E7F2D">
      <w:pPr>
        <w:spacing w:before="120"/>
      </w:pPr>
      <w:r>
        <w:t>In regard to complaints about medication, a number of the complaints we receive relate to</w:t>
      </w:r>
      <w:r w:rsidR="00163500">
        <w:t xml:space="preserve"> an individual’s access to the methadone p</w:t>
      </w:r>
      <w:r>
        <w:t xml:space="preserve">rogram. In these cases, we seek explanations about the reason the prisoner has not met the eligibility </w:t>
      </w:r>
      <w:r w:rsidR="00163500">
        <w:t>criteria to participate in the p</w:t>
      </w:r>
      <w:r>
        <w:t>rogram.</w:t>
      </w:r>
    </w:p>
    <w:p w14:paraId="0A4A524A" w14:textId="1389A07C" w:rsidR="00CF47E2" w:rsidRDefault="00B0321F" w:rsidP="005E7F2D">
      <w:pPr>
        <w:spacing w:before="120"/>
      </w:pPr>
      <w:r>
        <w:t>For</w:t>
      </w:r>
      <w:r w:rsidR="00CF47E2">
        <w:t xml:space="preserve"> complaints about access to medication for mental health issues,</w:t>
      </w:r>
      <w:r w:rsidR="00CF47E2">
        <w:br w:type="column"/>
      </w:r>
      <w:r w:rsidR="00CF47E2">
        <w:lastRenderedPageBreak/>
        <w:br/>
      </w:r>
      <w:r w:rsidR="00CF47E2">
        <w:br/>
      </w:r>
      <w:r w:rsidR="00CF47E2">
        <w:br/>
      </w:r>
      <w:r w:rsidR="00CF47E2">
        <w:br/>
      </w:r>
      <w:r w:rsidR="00CF47E2">
        <w:br/>
      </w:r>
      <w:r w:rsidR="00CF47E2">
        <w:br/>
        <w:t>we seek confirmation that the individual has access to mental health services and that they have been medically assessed with appropriate supports in place.</w:t>
      </w:r>
    </w:p>
    <w:p w14:paraId="604388E5" w14:textId="77777777" w:rsidR="00CF47E2" w:rsidRDefault="00CF47E2" w:rsidP="005E7F2D">
      <w:pPr>
        <w:spacing w:before="120"/>
      </w:pPr>
      <w:r>
        <w:t xml:space="preserve">A proportion of complaints also relate to access to health services when a prisoner is on remand. These cases are generally managed by contacting the Clinical Nurse Manager to seek explanations and confirm that an appointment has been made for a health assessment. </w:t>
      </w:r>
    </w:p>
    <w:p w14:paraId="64C2164F" w14:textId="19E792E2" w:rsidR="00CF47E2" w:rsidRDefault="00CF47E2" w:rsidP="005E7F2D">
      <w:pPr>
        <w:spacing w:before="120"/>
        <w:jc w:val="both"/>
        <w:rPr>
          <w:b/>
        </w:rPr>
      </w:pPr>
      <w:r>
        <w:t>When we receive complaints that raise concerns about the management of chronic health conditions, including access to external appointments and dental treatment, HaDSCO staff contact the relevant Clinical Nurse Managers to seek updates and explanations regarding the individual’s complaint. This is an efficient process to confirm that external referrals have been made and also assists to clarify information about their treatment and medications.</w:t>
      </w:r>
    </w:p>
    <w:p w14:paraId="04DEBC41" w14:textId="77777777" w:rsidR="00CF47E2" w:rsidRDefault="00CF47E2" w:rsidP="00CB1C88">
      <w:pPr>
        <w:jc w:val="both"/>
        <w:rPr>
          <w:b/>
        </w:rPr>
      </w:pPr>
    </w:p>
    <w:p w14:paraId="6FE8BE23" w14:textId="77777777" w:rsidR="00CF47E2" w:rsidRDefault="00CF47E2" w:rsidP="00CB1C88">
      <w:pPr>
        <w:jc w:val="both"/>
        <w:rPr>
          <w:b/>
        </w:rPr>
      </w:pPr>
    </w:p>
    <w:p w14:paraId="4ED32B37" w14:textId="77777777" w:rsidR="00CF47E2" w:rsidRDefault="00CF47E2" w:rsidP="00CB1C88">
      <w:pPr>
        <w:jc w:val="both"/>
        <w:rPr>
          <w:b/>
        </w:rPr>
      </w:pPr>
    </w:p>
    <w:p w14:paraId="162DC968" w14:textId="77777777" w:rsidR="00CF47E2" w:rsidRDefault="00CF47E2" w:rsidP="00CB1C88">
      <w:pPr>
        <w:jc w:val="both"/>
        <w:rPr>
          <w:b/>
        </w:rPr>
      </w:pPr>
    </w:p>
    <w:p w14:paraId="4B791E54" w14:textId="77777777" w:rsidR="00CF47E2" w:rsidRDefault="00CF47E2" w:rsidP="00CB1C88">
      <w:pPr>
        <w:jc w:val="both"/>
        <w:rPr>
          <w:b/>
        </w:rPr>
      </w:pPr>
    </w:p>
    <w:p w14:paraId="100CB6F8" w14:textId="77777777" w:rsidR="00AA6184" w:rsidRDefault="00AA6184" w:rsidP="00CB1C88">
      <w:pPr>
        <w:jc w:val="both"/>
        <w:rPr>
          <w:b/>
        </w:rPr>
        <w:sectPr w:rsidR="00AA6184" w:rsidSect="00CF47E2">
          <w:type w:val="continuous"/>
          <w:pgSz w:w="11907" w:h="16840" w:code="9"/>
          <w:pgMar w:top="1134" w:right="1440" w:bottom="1440" w:left="1701" w:header="720" w:footer="709" w:gutter="0"/>
          <w:cols w:num="2" w:space="720"/>
          <w:titlePg/>
          <w:docGrid w:linePitch="326"/>
        </w:sectPr>
      </w:pPr>
    </w:p>
    <w:p w14:paraId="378B8069" w14:textId="77777777" w:rsidR="009E3A57" w:rsidRDefault="009E3A57" w:rsidP="00CB1C88">
      <w:pPr>
        <w:jc w:val="both"/>
      </w:pPr>
      <w:r>
        <w:lastRenderedPageBreak/>
        <w:br w:type="page"/>
      </w:r>
    </w:p>
    <w:p w14:paraId="7B8EE8C2" w14:textId="79511B26" w:rsidR="00CB1C88" w:rsidRDefault="00CB1C88" w:rsidP="00CB1C88">
      <w:pPr>
        <w:jc w:val="both"/>
      </w:pPr>
      <w:r w:rsidRPr="00B60653">
        <w:lastRenderedPageBreak/>
        <w:t xml:space="preserve">The </w:t>
      </w:r>
      <w:r>
        <w:t>complaint issue categories identified</w:t>
      </w:r>
      <w:r w:rsidRPr="00B60653">
        <w:t xml:space="preserve"> </w:t>
      </w:r>
      <w:r>
        <w:t xml:space="preserve">in health </w:t>
      </w:r>
      <w:r w:rsidRPr="00B60653">
        <w:t xml:space="preserve">complaints </w:t>
      </w:r>
      <w:r>
        <w:t xml:space="preserve">vary by the service type in question. </w:t>
      </w:r>
      <w:r w:rsidR="00F05F8B">
        <w:t xml:space="preserve">The issue categories associated with the most common health service types (prison health service, general practice/practitioner, dental health services) are shown in </w:t>
      </w:r>
      <w:r>
        <w:t>Figure 13</w:t>
      </w:r>
      <w:r w:rsidRPr="00942237">
        <w:t>.</w:t>
      </w:r>
      <w:r>
        <w:t xml:space="preserve"> </w:t>
      </w:r>
    </w:p>
    <w:p w14:paraId="34845223" w14:textId="77777777" w:rsidR="00CB1C88" w:rsidRDefault="00CB1C88" w:rsidP="00CB1C88">
      <w:pPr>
        <w:jc w:val="both"/>
      </w:pPr>
    </w:p>
    <w:p w14:paraId="534FE5B3" w14:textId="16BE0AEC" w:rsidR="00CB1C88" w:rsidRDefault="00CB1C88" w:rsidP="00CB1C88">
      <w:pPr>
        <w:pStyle w:val="Normal-L3"/>
        <w:spacing w:line="276" w:lineRule="auto"/>
        <w:jc w:val="both"/>
        <w:rPr>
          <w:rFonts w:eastAsiaTheme="majorEastAsia" w:cstheme="majorBidi"/>
          <w:b/>
          <w:bCs/>
          <w:color w:val="000000" w:themeColor="text1"/>
          <w:szCs w:val="24"/>
        </w:rPr>
      </w:pPr>
      <w:r>
        <w:rPr>
          <w:rFonts w:eastAsiaTheme="majorEastAsia" w:cstheme="majorBidi"/>
          <w:b/>
          <w:bCs/>
          <w:color w:val="000000" w:themeColor="text1"/>
          <w:szCs w:val="24"/>
        </w:rPr>
        <w:t>Figure 13: Complaint categories by service type (2017-18)</w:t>
      </w:r>
    </w:p>
    <w:p w14:paraId="3B2BEDD4" w14:textId="77777777" w:rsidR="00CB1C88" w:rsidRDefault="00CB1C88" w:rsidP="00CB1C88">
      <w:pPr>
        <w:jc w:val="both"/>
      </w:pPr>
      <w:r w:rsidRPr="008E78AE">
        <w:rPr>
          <w:noProof/>
          <w:lang w:eastAsia="en-AU"/>
        </w:rPr>
        <w:drawing>
          <wp:inline distT="0" distB="0" distL="0" distR="0" wp14:anchorId="35F2482A" wp14:editId="762A92A2">
            <wp:extent cx="5400000" cy="5724000"/>
            <wp:effectExtent l="0" t="0" r="10795" b="1016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F4FA3C7" w14:textId="77777777" w:rsidR="00CB1C88" w:rsidRDefault="00CB1C88" w:rsidP="00CB1C88">
      <w:pPr>
        <w:jc w:val="both"/>
        <w:rPr>
          <w:i/>
          <w:sz w:val="16"/>
          <w:szCs w:val="20"/>
        </w:rPr>
      </w:pPr>
    </w:p>
    <w:p w14:paraId="4D4AC0E4" w14:textId="77777777" w:rsidR="00CB1C88" w:rsidRPr="00B3117C" w:rsidRDefault="00CB1C88" w:rsidP="00CB1C88">
      <w:pPr>
        <w:jc w:val="both"/>
        <w:rPr>
          <w:i/>
          <w:sz w:val="16"/>
          <w:szCs w:val="20"/>
        </w:rPr>
      </w:pPr>
      <w:r w:rsidRPr="00B3117C">
        <w:rPr>
          <w:i/>
          <w:sz w:val="16"/>
          <w:szCs w:val="20"/>
        </w:rPr>
        <w:t>Because multiple issues can be identified per complaint, percentages will not sum 100%.</w:t>
      </w:r>
      <w:r>
        <w:rPr>
          <w:i/>
          <w:sz w:val="16"/>
          <w:szCs w:val="20"/>
        </w:rPr>
        <w:t xml:space="preserve"> </w:t>
      </w:r>
    </w:p>
    <w:p w14:paraId="47D6BC20" w14:textId="77777777" w:rsidR="00CB1C88" w:rsidRDefault="00CB1C88" w:rsidP="00CB1C88">
      <w:pPr>
        <w:rPr>
          <w:b/>
        </w:rPr>
      </w:pPr>
    </w:p>
    <w:p w14:paraId="13FBF48A" w14:textId="77777777" w:rsidR="00CB1C88" w:rsidRDefault="00CB1C88" w:rsidP="00CB1C88">
      <w:r w:rsidRPr="005210D3">
        <w:t xml:space="preserve">The </w:t>
      </w:r>
      <w:r>
        <w:t>differences observed in the issue categories for complaints about prison health services, general practices, and dentist health services were as follows:</w:t>
      </w:r>
    </w:p>
    <w:p w14:paraId="43E10E9A" w14:textId="77777777" w:rsidR="00CB1C88" w:rsidRPr="003C0899" w:rsidRDefault="00CB1C88" w:rsidP="00CB1C88">
      <w:pPr>
        <w:rPr>
          <w:b/>
        </w:rPr>
      </w:pPr>
    </w:p>
    <w:p w14:paraId="2BF9F3D3" w14:textId="5A81F875" w:rsidR="00CB1C88" w:rsidRDefault="00CB1C88" w:rsidP="000B6A67">
      <w:pPr>
        <w:pStyle w:val="ListParagraph"/>
        <w:numPr>
          <w:ilvl w:val="0"/>
          <w:numId w:val="41"/>
        </w:numPr>
      </w:pPr>
      <w:r>
        <w:t>Complaints about prison health services were far more likely to concern access to services</w:t>
      </w:r>
      <w:r w:rsidR="009A4380">
        <w:t>;</w:t>
      </w:r>
      <w:r>
        <w:t xml:space="preserve"> and medication.</w:t>
      </w:r>
    </w:p>
    <w:p w14:paraId="2F0BC33D" w14:textId="58314F46" w:rsidR="00CB1C88" w:rsidRDefault="00CB1C88" w:rsidP="000B6A67">
      <w:pPr>
        <w:pStyle w:val="ListParagraph"/>
        <w:numPr>
          <w:ilvl w:val="0"/>
          <w:numId w:val="41"/>
        </w:numPr>
      </w:pPr>
      <w:r>
        <w:t>Complaints about general practices were far more likely to concer</w:t>
      </w:r>
      <w:r w:rsidR="009A4380">
        <w:t>n communication and information; medical records; fees and costs;</w:t>
      </w:r>
      <w:r>
        <w:t xml:space="preserve"> reports/certifi</w:t>
      </w:r>
      <w:r w:rsidR="009A4380">
        <w:t>cates;</w:t>
      </w:r>
      <w:r>
        <w:t xml:space="preserve"> and environment/management of facilities.</w:t>
      </w:r>
    </w:p>
    <w:p w14:paraId="51AA40A1" w14:textId="700A68D8" w:rsidR="00127612" w:rsidRPr="009E3A57" w:rsidRDefault="00CB1C88" w:rsidP="009E3A57">
      <w:pPr>
        <w:pStyle w:val="ListParagraph"/>
        <w:numPr>
          <w:ilvl w:val="0"/>
          <w:numId w:val="41"/>
        </w:numPr>
        <w:rPr>
          <w:b/>
        </w:rPr>
      </w:pPr>
      <w:r>
        <w:t>Complaints about dental health services were far m</w:t>
      </w:r>
      <w:r w:rsidR="009A4380">
        <w:t>ore likely to concern treatment;</w:t>
      </w:r>
      <w:r>
        <w:t xml:space="preserve"> and fees and costs.</w:t>
      </w:r>
      <w:bookmarkStart w:id="26" w:name="_Toc493506750"/>
      <w:bookmarkStart w:id="27" w:name="_Toc522094796"/>
      <w:r w:rsidR="00127612" w:rsidRPr="009E3A57">
        <w:rPr>
          <w:color w:val="033349"/>
          <w:sz w:val="28"/>
        </w:rPr>
        <w:br w:type="page"/>
      </w:r>
    </w:p>
    <w:p w14:paraId="5F50DC2E" w14:textId="357E8467" w:rsidR="00E76E6D" w:rsidRPr="00916024" w:rsidRDefault="00E76E6D" w:rsidP="00832B2F">
      <w:pPr>
        <w:pStyle w:val="Heading3"/>
        <w:rPr>
          <w:color w:val="033349"/>
          <w:sz w:val="28"/>
        </w:rPr>
      </w:pPr>
      <w:r w:rsidRPr="00916024">
        <w:rPr>
          <w:color w:val="033349"/>
          <w:sz w:val="28"/>
        </w:rPr>
        <w:lastRenderedPageBreak/>
        <w:t>External complaints data</w:t>
      </w:r>
      <w:bookmarkEnd w:id="26"/>
      <w:bookmarkEnd w:id="27"/>
      <w:r w:rsidRPr="00916024">
        <w:rPr>
          <w:color w:val="033349"/>
          <w:sz w:val="28"/>
        </w:rPr>
        <w:t xml:space="preserve"> </w:t>
      </w:r>
    </w:p>
    <w:p w14:paraId="3C1BC680" w14:textId="77777777" w:rsidR="00E76E6D" w:rsidRPr="00E76E6D" w:rsidRDefault="00E76E6D" w:rsidP="00E76E6D">
      <w:pPr>
        <w:spacing w:line="276" w:lineRule="auto"/>
        <w:rPr>
          <w:b/>
          <w:color w:val="04425E"/>
          <w:sz w:val="28"/>
          <w:szCs w:val="28"/>
        </w:rPr>
      </w:pPr>
    </w:p>
    <w:p w14:paraId="5EBB051C" w14:textId="77777777" w:rsidR="009D5468" w:rsidRPr="00AF5E5B" w:rsidRDefault="009D5468" w:rsidP="009D5468">
      <w:r w:rsidRPr="00AF5E5B">
        <w:t xml:space="preserve">Under Section 75 of the </w:t>
      </w:r>
      <w:r w:rsidRPr="00AF5E5B">
        <w:rPr>
          <w:i/>
        </w:rPr>
        <w:t>Health and Disability Services (Complaints) Act 1995</w:t>
      </w:r>
      <w:r w:rsidRPr="00AF5E5B">
        <w:t xml:space="preserve"> and the </w:t>
      </w:r>
      <w:r w:rsidRPr="00AF5E5B">
        <w:rPr>
          <w:i/>
        </w:rPr>
        <w:t>Health and Disability Services (Complaints) Regulations 2010</w:t>
      </w:r>
      <w:r w:rsidRPr="00AF5E5B">
        <w:t>, each year HaDSCO collects complaint data from prescribed government and non-government health service providers in Western Australia. The information collected by HaDSCO is used to identify systemic issues and trends across the health sector and develop resource materials for stakeholders. The data collection also provides HaDSCO with the opportunity to work with service providers to improve their complaints management processes.</w:t>
      </w:r>
    </w:p>
    <w:p w14:paraId="47BFD9B7" w14:textId="77777777" w:rsidR="009D5468" w:rsidRPr="00AF5E5B" w:rsidRDefault="009D5468" w:rsidP="009D5468"/>
    <w:p w14:paraId="26101374" w14:textId="00D90056" w:rsidR="009D5468" w:rsidRPr="00AF5E5B" w:rsidRDefault="009D5468" w:rsidP="009D5468">
      <w:r w:rsidRPr="00AF5E5B">
        <w:t xml:space="preserve">Only de-identified data is collected from the 25 prescribed service providers. A list of the prescribed health service providers can be found in </w:t>
      </w:r>
      <w:r w:rsidR="008E171B" w:rsidRPr="008E171B">
        <w:t>Appendix 5.3</w:t>
      </w:r>
      <w:r w:rsidRPr="008E171B">
        <w:t>.</w:t>
      </w:r>
      <w:r w:rsidRPr="00AF5E5B">
        <w:t xml:space="preserve"> The information collected includes:</w:t>
      </w:r>
    </w:p>
    <w:p w14:paraId="51C7180A" w14:textId="77777777" w:rsidR="009D5468" w:rsidRPr="00AF5E5B" w:rsidRDefault="009D5468" w:rsidP="009D5468"/>
    <w:p w14:paraId="5DF21BBC" w14:textId="682B4687" w:rsidR="009D5468" w:rsidRPr="00AF5E5B" w:rsidRDefault="009D5468" w:rsidP="000B6A67">
      <w:pPr>
        <w:pStyle w:val="ListParagraph"/>
        <w:numPr>
          <w:ilvl w:val="0"/>
          <w:numId w:val="10"/>
        </w:numPr>
        <w:ind w:left="426"/>
      </w:pPr>
      <w:r w:rsidRPr="00AF5E5B">
        <w:t>Number of complaints</w:t>
      </w:r>
      <w:r w:rsidR="00D12404">
        <w:t>.</w:t>
      </w:r>
    </w:p>
    <w:p w14:paraId="2C1EEEEA" w14:textId="5F3D9829" w:rsidR="009D5468" w:rsidRPr="00AF5E5B" w:rsidRDefault="009D5468" w:rsidP="000B6A67">
      <w:pPr>
        <w:pStyle w:val="ListParagraph"/>
        <w:numPr>
          <w:ilvl w:val="0"/>
          <w:numId w:val="10"/>
        </w:numPr>
        <w:ind w:left="426"/>
      </w:pPr>
      <w:r w:rsidRPr="00AF5E5B">
        <w:t>Demographics of consumers</w:t>
      </w:r>
      <w:r w:rsidR="00D12404">
        <w:t>.</w:t>
      </w:r>
    </w:p>
    <w:p w14:paraId="39C044E6" w14:textId="5903450B" w:rsidR="009D5468" w:rsidRPr="00AF5E5B" w:rsidRDefault="009D5468" w:rsidP="000B6A67">
      <w:pPr>
        <w:pStyle w:val="ListParagraph"/>
        <w:numPr>
          <w:ilvl w:val="0"/>
          <w:numId w:val="10"/>
        </w:numPr>
        <w:ind w:left="426"/>
      </w:pPr>
      <w:r w:rsidRPr="00AF5E5B">
        <w:t>Complaint issues</w:t>
      </w:r>
      <w:r w:rsidR="00D12404">
        <w:t>.</w:t>
      </w:r>
    </w:p>
    <w:p w14:paraId="202006BF" w14:textId="6D7CA344" w:rsidR="009D5468" w:rsidRPr="00AF5E5B" w:rsidRDefault="009D5468" w:rsidP="000B6A67">
      <w:pPr>
        <w:pStyle w:val="ListParagraph"/>
        <w:numPr>
          <w:ilvl w:val="0"/>
          <w:numId w:val="10"/>
        </w:numPr>
        <w:ind w:left="426"/>
      </w:pPr>
      <w:r w:rsidRPr="00AF5E5B">
        <w:t>Complaint outcomes</w:t>
      </w:r>
      <w:r w:rsidR="00D12404">
        <w:t>.</w:t>
      </w:r>
    </w:p>
    <w:p w14:paraId="07AF830A" w14:textId="77777777" w:rsidR="009D5468" w:rsidRPr="00AF5E5B" w:rsidRDefault="009D5468" w:rsidP="000B6A67">
      <w:pPr>
        <w:pStyle w:val="ListParagraph"/>
        <w:numPr>
          <w:ilvl w:val="0"/>
          <w:numId w:val="10"/>
        </w:numPr>
        <w:ind w:left="426"/>
      </w:pPr>
      <w:r w:rsidRPr="00AF5E5B">
        <w:t>Timeliness of complaint resolution.</w:t>
      </w:r>
    </w:p>
    <w:p w14:paraId="7342CC34" w14:textId="77777777" w:rsidR="009D5468" w:rsidRPr="00AF5E5B" w:rsidRDefault="009D5468" w:rsidP="009D5468"/>
    <w:p w14:paraId="64A0E238" w14:textId="77777777" w:rsidR="009D5468" w:rsidRPr="00AF5E5B" w:rsidRDefault="009D5468" w:rsidP="009D5468">
      <w:r w:rsidRPr="00AF5E5B">
        <w:t xml:space="preserve">The aggregate data received by HaDSCO </w:t>
      </w:r>
      <w:r w:rsidRPr="00AF5E5B">
        <w:rPr>
          <w:rFonts w:eastAsiaTheme="majorEastAsia" w:cstheme="majorBidi"/>
          <w:bCs/>
          <w:color w:val="000000" w:themeColor="text1"/>
        </w:rPr>
        <w:t>includes all complaints received by prescribed providers in the current financial year (2017-18). A preliminary analysis of this data is provided below.</w:t>
      </w:r>
    </w:p>
    <w:p w14:paraId="0B137DCD" w14:textId="77777777" w:rsidR="009D5468" w:rsidRPr="00AF5E5B" w:rsidRDefault="009D5468" w:rsidP="009D5468"/>
    <w:p w14:paraId="05CDD3D4" w14:textId="77777777" w:rsidR="009D5468" w:rsidRDefault="009D5468" w:rsidP="009D5468">
      <w:r w:rsidRPr="00EF0355">
        <w:t>In 201</w:t>
      </w:r>
      <w:r>
        <w:t>7</w:t>
      </w:r>
      <w:r w:rsidRPr="00EF0355">
        <w:t>-1</w:t>
      </w:r>
      <w:r>
        <w:t>8</w:t>
      </w:r>
      <w:r w:rsidRPr="00EF0355">
        <w:t>, details of 6,850 complaints concerning 11,448 issues were submitted to HaDSCO by service providers. This represents a 9.5% decrease</w:t>
      </w:r>
      <w:r>
        <w:t xml:space="preserve"> from </w:t>
      </w:r>
    </w:p>
    <w:p w14:paraId="444421E4" w14:textId="77777777" w:rsidR="009D5468" w:rsidRPr="00EF0355" w:rsidRDefault="009D5468" w:rsidP="009D5468">
      <w:r>
        <w:t>2016-17</w:t>
      </w:r>
      <w:r w:rsidRPr="00EF0355">
        <w:t xml:space="preserve"> in the number of complaints received (7,569 complaints) and a 6% decrease in the number of issues identified (12,243</w:t>
      </w:r>
      <w:r>
        <w:t xml:space="preserve"> issues in 2016-17</w:t>
      </w:r>
      <w:r w:rsidRPr="00EF0355">
        <w:t>).</w:t>
      </w:r>
    </w:p>
    <w:p w14:paraId="04D4F250" w14:textId="77777777" w:rsidR="009D5468" w:rsidRPr="00EF0355" w:rsidRDefault="009D5468" w:rsidP="009D5468"/>
    <w:p w14:paraId="7860894D" w14:textId="77777777" w:rsidR="009D5468" w:rsidRPr="00EF0355" w:rsidRDefault="009D5468" w:rsidP="009D5468">
      <w:pPr>
        <w:rPr>
          <w:b/>
        </w:rPr>
      </w:pPr>
      <w:r w:rsidRPr="00EF0355">
        <w:rPr>
          <w:b/>
        </w:rPr>
        <w:t xml:space="preserve">Individual making the complaint </w:t>
      </w:r>
    </w:p>
    <w:p w14:paraId="2A804F8D" w14:textId="77777777" w:rsidR="009D5468" w:rsidRPr="00EF0355" w:rsidRDefault="009D5468" w:rsidP="009D5468">
      <w:pPr>
        <w:rPr>
          <w:b/>
        </w:rPr>
      </w:pPr>
    </w:p>
    <w:p w14:paraId="1778A260" w14:textId="21B86C89" w:rsidR="009D5468" w:rsidRPr="00EF0355" w:rsidRDefault="009D5468" w:rsidP="009D5468">
      <w:pPr>
        <w:pStyle w:val="Normal-L3"/>
        <w:jc w:val="both"/>
        <w:rPr>
          <w:rFonts w:eastAsiaTheme="majorEastAsia" w:cstheme="majorBidi"/>
          <w:bCs/>
          <w:color w:val="000000" w:themeColor="text1"/>
          <w:szCs w:val="24"/>
        </w:rPr>
      </w:pPr>
      <w:r w:rsidRPr="00EF0355">
        <w:rPr>
          <w:rFonts w:eastAsiaTheme="majorEastAsia" w:cstheme="majorBidi"/>
          <w:bCs/>
          <w:color w:val="000000" w:themeColor="text1"/>
          <w:szCs w:val="24"/>
        </w:rPr>
        <w:t>In 201</w:t>
      </w:r>
      <w:r>
        <w:rPr>
          <w:rFonts w:eastAsiaTheme="majorEastAsia" w:cstheme="majorBidi"/>
          <w:bCs/>
          <w:color w:val="000000" w:themeColor="text1"/>
          <w:szCs w:val="24"/>
        </w:rPr>
        <w:t>7</w:t>
      </w:r>
      <w:r w:rsidRPr="00EF0355">
        <w:rPr>
          <w:rFonts w:eastAsiaTheme="majorEastAsia" w:cstheme="majorBidi"/>
          <w:bCs/>
          <w:color w:val="000000" w:themeColor="text1"/>
          <w:szCs w:val="24"/>
        </w:rPr>
        <w:t>-1</w:t>
      </w:r>
      <w:r>
        <w:rPr>
          <w:rFonts w:eastAsiaTheme="majorEastAsia" w:cstheme="majorBidi"/>
          <w:bCs/>
          <w:color w:val="000000" w:themeColor="text1"/>
          <w:szCs w:val="24"/>
        </w:rPr>
        <w:t>8</w:t>
      </w:r>
      <w:r w:rsidRPr="00EF0355">
        <w:rPr>
          <w:rFonts w:eastAsiaTheme="majorEastAsia" w:cstheme="majorBidi"/>
          <w:bCs/>
          <w:color w:val="000000" w:themeColor="text1"/>
          <w:szCs w:val="24"/>
        </w:rPr>
        <w:t>, the majority of complaints (66%) received directly by service providers were made by the individual who received th</w:t>
      </w:r>
      <w:r>
        <w:rPr>
          <w:rFonts w:eastAsiaTheme="majorEastAsia" w:cstheme="majorBidi"/>
          <w:bCs/>
          <w:color w:val="000000" w:themeColor="text1"/>
          <w:szCs w:val="24"/>
        </w:rPr>
        <w:t>e service (as shown in Figure 14</w:t>
      </w:r>
      <w:r w:rsidRPr="00EF0355">
        <w:rPr>
          <w:rFonts w:eastAsiaTheme="majorEastAsia" w:cstheme="majorBidi"/>
          <w:bCs/>
          <w:color w:val="000000" w:themeColor="text1"/>
          <w:szCs w:val="24"/>
        </w:rPr>
        <w:t>).</w:t>
      </w:r>
    </w:p>
    <w:p w14:paraId="09FA01AA" w14:textId="77777777" w:rsidR="009D5468" w:rsidRPr="00EF0355" w:rsidRDefault="009D5468" w:rsidP="009D5468">
      <w:pPr>
        <w:pStyle w:val="Normal-L3"/>
        <w:jc w:val="both"/>
        <w:rPr>
          <w:rFonts w:eastAsiaTheme="majorEastAsia" w:cstheme="majorBidi"/>
          <w:bCs/>
          <w:color w:val="000000" w:themeColor="text1"/>
          <w:szCs w:val="24"/>
        </w:rPr>
      </w:pPr>
    </w:p>
    <w:p w14:paraId="571E807E" w14:textId="573B56AD" w:rsidR="009D5468" w:rsidRPr="00EF0355" w:rsidRDefault="009D5468" w:rsidP="009D5468">
      <w:pPr>
        <w:pStyle w:val="Normal-L3"/>
        <w:spacing w:line="276" w:lineRule="auto"/>
        <w:jc w:val="both"/>
        <w:rPr>
          <w:rFonts w:eastAsiaTheme="majorEastAsia" w:cstheme="majorBidi"/>
          <w:b/>
          <w:bCs/>
          <w:color w:val="000000" w:themeColor="text1"/>
          <w:szCs w:val="24"/>
        </w:rPr>
      </w:pPr>
      <w:r>
        <w:rPr>
          <w:rFonts w:eastAsiaTheme="majorEastAsia" w:cstheme="majorBidi"/>
          <w:b/>
          <w:bCs/>
          <w:color w:val="000000" w:themeColor="text1"/>
          <w:szCs w:val="24"/>
        </w:rPr>
        <w:t>Figure 14</w:t>
      </w:r>
      <w:r w:rsidRPr="00EF0355">
        <w:rPr>
          <w:rFonts w:eastAsiaTheme="majorEastAsia" w:cstheme="majorBidi"/>
          <w:b/>
          <w:bCs/>
          <w:color w:val="000000" w:themeColor="text1"/>
          <w:szCs w:val="24"/>
        </w:rPr>
        <w:t xml:space="preserve">: Individual making the complaint </w:t>
      </w:r>
    </w:p>
    <w:p w14:paraId="48344248" w14:textId="77777777" w:rsidR="009D5468" w:rsidRPr="00EF0355" w:rsidRDefault="009D5468" w:rsidP="009D5468">
      <w:r w:rsidRPr="00EF0355">
        <w:rPr>
          <w:noProof/>
          <w:lang w:eastAsia="en-AU"/>
        </w:rPr>
        <w:drawing>
          <wp:inline distT="0" distB="0" distL="0" distR="0" wp14:anchorId="280CB8D7" wp14:editId="0B1BCFCC">
            <wp:extent cx="4545496" cy="1961322"/>
            <wp:effectExtent l="0" t="0" r="26670" b="2032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EF0355">
        <w:br w:type="page"/>
      </w:r>
    </w:p>
    <w:p w14:paraId="17DF9C33" w14:textId="77777777" w:rsidR="009D5468" w:rsidRPr="00B97FF3" w:rsidRDefault="009D5468" w:rsidP="009D5468">
      <w:pPr>
        <w:rPr>
          <w:b/>
        </w:rPr>
      </w:pPr>
      <w:r w:rsidRPr="00B97FF3">
        <w:rPr>
          <w:b/>
        </w:rPr>
        <w:lastRenderedPageBreak/>
        <w:t>Time taken to resolve complaints</w:t>
      </w:r>
    </w:p>
    <w:p w14:paraId="78781469" w14:textId="77777777" w:rsidR="009D5468" w:rsidRPr="00B97FF3" w:rsidRDefault="009D5468" w:rsidP="009D5468">
      <w:pPr>
        <w:rPr>
          <w:b/>
        </w:rPr>
      </w:pPr>
    </w:p>
    <w:p w14:paraId="31B3EFB7" w14:textId="7246BDA8" w:rsidR="009D5468" w:rsidRPr="00B97FF3" w:rsidRDefault="009D5468" w:rsidP="009D5468">
      <w:r w:rsidRPr="00B97FF3">
        <w:t xml:space="preserve">The time taken for service providers to resolve complaints over the past three years is </w:t>
      </w:r>
      <w:r>
        <w:t>shown in Figure 15</w:t>
      </w:r>
      <w:r w:rsidRPr="00B97FF3">
        <w:t>. In 2017-18, the majority of complaints (</w:t>
      </w:r>
      <w:r>
        <w:t>72</w:t>
      </w:r>
      <w:r w:rsidRPr="00B97FF3">
        <w:t>%) received directly by health service providers were resolved in less than 30 days.</w:t>
      </w:r>
    </w:p>
    <w:p w14:paraId="5F0004CA" w14:textId="77777777" w:rsidR="009D5468" w:rsidRPr="00B97FF3" w:rsidRDefault="009D5468" w:rsidP="009D5468"/>
    <w:p w14:paraId="1EC493E6" w14:textId="70D105E5" w:rsidR="009D5468" w:rsidRPr="00B97FF3" w:rsidRDefault="009D5468" w:rsidP="009D5468">
      <w:pPr>
        <w:rPr>
          <w:b/>
        </w:rPr>
      </w:pPr>
      <w:r>
        <w:rPr>
          <w:b/>
        </w:rPr>
        <w:t>Figure 15</w:t>
      </w:r>
      <w:r w:rsidRPr="00B97FF3">
        <w:rPr>
          <w:b/>
        </w:rPr>
        <w:t>: Time taken to resolve complaints</w:t>
      </w:r>
    </w:p>
    <w:p w14:paraId="766AA236" w14:textId="77777777" w:rsidR="009D5468" w:rsidRPr="00B97FF3" w:rsidRDefault="009D5468" w:rsidP="009D5468">
      <w:pPr>
        <w:rPr>
          <w:b/>
        </w:rPr>
      </w:pPr>
      <w:r w:rsidRPr="00B97FF3">
        <w:rPr>
          <w:noProof/>
          <w:lang w:eastAsia="en-AU"/>
        </w:rPr>
        <w:drawing>
          <wp:inline distT="0" distB="0" distL="0" distR="0" wp14:anchorId="44FF87B8" wp14:editId="1A068A0B">
            <wp:extent cx="5105400" cy="4572000"/>
            <wp:effectExtent l="0" t="0" r="19050" b="1905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3DDF2A4" w14:textId="77777777" w:rsidR="009D5468" w:rsidRPr="00163500" w:rsidRDefault="009D5468" w:rsidP="009D5468">
      <w:pPr>
        <w:rPr>
          <w:b/>
          <w:sz w:val="16"/>
          <w:szCs w:val="16"/>
          <w:highlight w:val="yellow"/>
        </w:rPr>
      </w:pPr>
    </w:p>
    <w:p w14:paraId="24B2758A" w14:textId="77777777" w:rsidR="009D5468" w:rsidRPr="00B97FF3" w:rsidRDefault="009D5468" w:rsidP="009D5468">
      <w:pPr>
        <w:jc w:val="both"/>
        <w:rPr>
          <w:i/>
          <w:sz w:val="16"/>
          <w:szCs w:val="16"/>
        </w:rPr>
      </w:pPr>
      <w:r w:rsidRPr="00B97FF3">
        <w:rPr>
          <w:i/>
          <w:sz w:val="16"/>
          <w:szCs w:val="16"/>
        </w:rPr>
        <w:t>Totals may not sum to 100% due to rounding. In some instances data was not recorded by health service providers.</w:t>
      </w:r>
    </w:p>
    <w:p w14:paraId="6D5401A0" w14:textId="77777777" w:rsidR="009D5468" w:rsidRPr="00D90A70" w:rsidRDefault="009D5468" w:rsidP="009D5468">
      <w:pPr>
        <w:rPr>
          <w:b/>
          <w:highlight w:val="yellow"/>
        </w:rPr>
      </w:pPr>
    </w:p>
    <w:p w14:paraId="4ACF56CD" w14:textId="77777777" w:rsidR="009D5468" w:rsidRPr="00D90A70" w:rsidRDefault="009D5468" w:rsidP="009D5468">
      <w:pPr>
        <w:rPr>
          <w:highlight w:val="yellow"/>
        </w:rPr>
      </w:pPr>
    </w:p>
    <w:p w14:paraId="0F41E419" w14:textId="77777777" w:rsidR="009D5468" w:rsidRPr="00D90A70" w:rsidRDefault="009D5468" w:rsidP="009D5468">
      <w:pPr>
        <w:spacing w:after="200" w:line="276" w:lineRule="auto"/>
        <w:rPr>
          <w:highlight w:val="yellow"/>
        </w:rPr>
      </w:pPr>
      <w:r w:rsidRPr="00D90A70">
        <w:rPr>
          <w:highlight w:val="yellow"/>
        </w:rPr>
        <w:br w:type="page"/>
      </w:r>
    </w:p>
    <w:p w14:paraId="6DD83C97" w14:textId="77777777" w:rsidR="009D5468" w:rsidRPr="00B97FF3" w:rsidRDefault="009D5468" w:rsidP="009D5468">
      <w:pPr>
        <w:rPr>
          <w:b/>
        </w:rPr>
      </w:pPr>
      <w:r w:rsidRPr="00B97FF3">
        <w:rPr>
          <w:b/>
        </w:rPr>
        <w:lastRenderedPageBreak/>
        <w:t xml:space="preserve">Issues identified  </w:t>
      </w:r>
    </w:p>
    <w:p w14:paraId="1B995ED3" w14:textId="77777777" w:rsidR="009D5468" w:rsidRPr="00B97FF3" w:rsidRDefault="009D5468" w:rsidP="009D5468">
      <w:pPr>
        <w:rPr>
          <w:b/>
        </w:rPr>
      </w:pPr>
    </w:p>
    <w:p w14:paraId="65D782C4" w14:textId="50834998" w:rsidR="009D5468" w:rsidRPr="00B97FF3" w:rsidRDefault="009D5468" w:rsidP="009D5468">
      <w:r w:rsidRPr="00B97FF3">
        <w:t>The issues identified in complaints received by service providers over the last th</w:t>
      </w:r>
      <w:r>
        <w:t>ree years are shown in Figure 16</w:t>
      </w:r>
      <w:r w:rsidRPr="00B97FF3">
        <w:t>.</w:t>
      </w:r>
      <w:r>
        <w:t xml:space="preserve"> </w:t>
      </w:r>
      <w:r w:rsidRPr="00B97FF3">
        <w:t>In 2017-18, quality of clinical care (34%), communication with patients (21%), and access to service (16%) remained the issues most commonly identified in complaints. There has been</w:t>
      </w:r>
      <w:r>
        <w:t xml:space="preserve"> minimal </w:t>
      </w:r>
      <w:r w:rsidRPr="00B97FF3">
        <w:t>change in the types of issues identified in the complaints received by health service providers over the last three years.</w:t>
      </w:r>
    </w:p>
    <w:p w14:paraId="17C0894C" w14:textId="77777777" w:rsidR="009D5468" w:rsidRPr="00B97FF3" w:rsidRDefault="009D5468" w:rsidP="009D5468"/>
    <w:p w14:paraId="505FF842" w14:textId="59763971" w:rsidR="009D5468" w:rsidRPr="00B97FF3" w:rsidRDefault="009D5468" w:rsidP="009D5468">
      <w:pPr>
        <w:rPr>
          <w:b/>
        </w:rPr>
      </w:pPr>
      <w:r>
        <w:rPr>
          <w:b/>
        </w:rPr>
        <w:t>Figure 16</w:t>
      </w:r>
      <w:r w:rsidRPr="00B97FF3">
        <w:rPr>
          <w:b/>
        </w:rPr>
        <w:t>: Issues identified in complaints</w:t>
      </w:r>
    </w:p>
    <w:p w14:paraId="0CC3D90A" w14:textId="77777777" w:rsidR="009D5468" w:rsidRPr="00B97FF3" w:rsidRDefault="009D5468" w:rsidP="009D5468">
      <w:pPr>
        <w:rPr>
          <w:b/>
        </w:rPr>
      </w:pPr>
      <w:r w:rsidRPr="00B97FF3">
        <w:rPr>
          <w:noProof/>
          <w:lang w:eastAsia="en-AU"/>
        </w:rPr>
        <w:drawing>
          <wp:inline distT="0" distB="0" distL="0" distR="0" wp14:anchorId="07EA8691" wp14:editId="4B390F7D">
            <wp:extent cx="5115339" cy="4716000"/>
            <wp:effectExtent l="0" t="0" r="9525" b="2794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06A1F09" w14:textId="77777777" w:rsidR="009D5468" w:rsidRPr="00D90A70" w:rsidRDefault="009D5468" w:rsidP="009D5468">
      <w:pPr>
        <w:rPr>
          <w:b/>
          <w:highlight w:val="yellow"/>
        </w:rPr>
      </w:pPr>
    </w:p>
    <w:p w14:paraId="12358446" w14:textId="77777777" w:rsidR="009D5468" w:rsidRPr="00B97FF3" w:rsidRDefault="009D5468" w:rsidP="009D5468">
      <w:pPr>
        <w:rPr>
          <w:b/>
        </w:rPr>
      </w:pPr>
      <w:r w:rsidRPr="00B97FF3">
        <w:rPr>
          <w:i/>
          <w:sz w:val="16"/>
          <w:szCs w:val="16"/>
        </w:rPr>
        <w:t>Totals may not sum to 100% due to rounding.</w:t>
      </w:r>
    </w:p>
    <w:p w14:paraId="2A202967" w14:textId="77777777" w:rsidR="009D5468" w:rsidRPr="00D90A70" w:rsidRDefault="009D5468" w:rsidP="009D5468">
      <w:pPr>
        <w:rPr>
          <w:b/>
          <w:highlight w:val="yellow"/>
        </w:rPr>
      </w:pPr>
    </w:p>
    <w:p w14:paraId="2EE12232" w14:textId="77777777" w:rsidR="009D5468" w:rsidRPr="00D90A70" w:rsidRDefault="009D5468" w:rsidP="009D5468">
      <w:pPr>
        <w:spacing w:after="200" w:line="276" w:lineRule="auto"/>
        <w:rPr>
          <w:b/>
          <w:highlight w:val="yellow"/>
        </w:rPr>
      </w:pPr>
      <w:r w:rsidRPr="00D90A70">
        <w:rPr>
          <w:b/>
          <w:highlight w:val="yellow"/>
        </w:rPr>
        <w:br w:type="page"/>
      </w:r>
    </w:p>
    <w:p w14:paraId="0DE9A079" w14:textId="77777777" w:rsidR="009D5468" w:rsidRPr="0043111E" w:rsidRDefault="009D5468" w:rsidP="009D5468">
      <w:pPr>
        <w:rPr>
          <w:b/>
        </w:rPr>
      </w:pPr>
      <w:r w:rsidRPr="0043111E">
        <w:rPr>
          <w:b/>
        </w:rPr>
        <w:lastRenderedPageBreak/>
        <w:t xml:space="preserve">Outcomes achieved </w:t>
      </w:r>
    </w:p>
    <w:p w14:paraId="56BE004C" w14:textId="77777777" w:rsidR="009D5468" w:rsidRPr="0043111E" w:rsidRDefault="009D5468" w:rsidP="009D5468">
      <w:pPr>
        <w:rPr>
          <w:b/>
        </w:rPr>
      </w:pPr>
    </w:p>
    <w:p w14:paraId="521E423E" w14:textId="77777777" w:rsidR="009D5468" w:rsidRDefault="009D5468" w:rsidP="009D5468">
      <w:r w:rsidRPr="0043111E">
        <w:t xml:space="preserve">A range of outcomes were achieved from the complaints managed by service providers. In 2017-18, </w:t>
      </w:r>
      <w:r>
        <w:t xml:space="preserve">the </w:t>
      </w:r>
      <w:r w:rsidRPr="0043111E">
        <w:t>most common outcomes were providing an explanation (3</w:t>
      </w:r>
      <w:r>
        <w:t>0</w:t>
      </w:r>
      <w:r w:rsidRPr="0043111E">
        <w:t>%), providing an apology (2</w:t>
      </w:r>
      <w:r>
        <w:t>6</w:t>
      </w:r>
      <w:r w:rsidRPr="0043111E">
        <w:t xml:space="preserve">%), or </w:t>
      </w:r>
      <w:r>
        <w:t xml:space="preserve">concern registered </w:t>
      </w:r>
      <w:r w:rsidRPr="0043111E">
        <w:t>(2</w:t>
      </w:r>
      <w:r>
        <w:t>0</w:t>
      </w:r>
      <w:r w:rsidRPr="0043111E">
        <w:t>%). Of note</w:t>
      </w:r>
      <w:r>
        <w:t>,</w:t>
      </w:r>
      <w:r w:rsidRPr="0043111E">
        <w:t xml:space="preserve"> there has been </w:t>
      </w:r>
      <w:r>
        <w:t>a drop in the number of outcomes achieved by service providers, with a 25% decrease in 2017-18 (10,152 outcomes in 2017-18 compared to 13,473 outcomes in 2016-17). This reflects a drop from approximately 1.8 outcomes per complaint in the previous two years to just over 1.5 outcomes per complaint in 2017-18. Across the outcomes identified there has been a</w:t>
      </w:r>
      <w:r w:rsidRPr="0043111E">
        <w:t xml:space="preserve"> </w:t>
      </w:r>
      <w:r>
        <w:t>decreasing</w:t>
      </w:r>
      <w:r w:rsidRPr="0043111E">
        <w:t xml:space="preserve"> trend to provide an </w:t>
      </w:r>
      <w:r>
        <w:t>explanation</w:t>
      </w:r>
      <w:r w:rsidRPr="0043111E">
        <w:t xml:space="preserve"> to an </w:t>
      </w:r>
      <w:r>
        <w:t xml:space="preserve">individual making a complaint. </w:t>
      </w:r>
      <w:r w:rsidRPr="0043111E">
        <w:t>Other outcomes have r</w:t>
      </w:r>
      <w:r>
        <w:t xml:space="preserve">emained consistent. </w:t>
      </w:r>
    </w:p>
    <w:p w14:paraId="6DE02E2B" w14:textId="77777777" w:rsidR="009D5468" w:rsidRPr="0043111E" w:rsidRDefault="009D5468" w:rsidP="009D5468"/>
    <w:p w14:paraId="4C582C2B" w14:textId="5B02A2C0" w:rsidR="009D5468" w:rsidRPr="0043111E" w:rsidRDefault="009D5468" w:rsidP="009D5468">
      <w:r w:rsidRPr="0043111E">
        <w:t xml:space="preserve">The outcomes achieved in complaints received by service providers </w:t>
      </w:r>
      <w:r>
        <w:t>over the last three years are shown in Figure 17</w:t>
      </w:r>
      <w:r w:rsidRPr="0043111E">
        <w:t>.</w:t>
      </w:r>
    </w:p>
    <w:p w14:paraId="6DA353E5" w14:textId="77777777" w:rsidR="009D5468" w:rsidRPr="0043111E" w:rsidRDefault="009D5468" w:rsidP="009D5468">
      <w:pPr>
        <w:rPr>
          <w:b/>
        </w:rPr>
      </w:pPr>
    </w:p>
    <w:p w14:paraId="2DD67613" w14:textId="12A0F3B3" w:rsidR="009D5468" w:rsidRPr="0043111E" w:rsidRDefault="009D5468" w:rsidP="009D5468">
      <w:pPr>
        <w:rPr>
          <w:b/>
        </w:rPr>
      </w:pPr>
      <w:r>
        <w:rPr>
          <w:b/>
        </w:rPr>
        <w:t>Figure 17</w:t>
      </w:r>
      <w:r w:rsidRPr="0043111E">
        <w:rPr>
          <w:b/>
        </w:rPr>
        <w:t>: Outcomes achieved</w:t>
      </w:r>
    </w:p>
    <w:p w14:paraId="177C7060" w14:textId="77777777" w:rsidR="009D5468" w:rsidRPr="0043111E" w:rsidRDefault="009D5468" w:rsidP="009D5468">
      <w:r w:rsidRPr="0043111E">
        <w:rPr>
          <w:noProof/>
          <w:lang w:eastAsia="en-AU"/>
        </w:rPr>
        <w:drawing>
          <wp:inline distT="0" distB="0" distL="0" distR="0" wp14:anchorId="67140BB2" wp14:editId="07118AFA">
            <wp:extent cx="6086475" cy="5486400"/>
            <wp:effectExtent l="0" t="0" r="9525" b="19050"/>
            <wp:docPr id="85" name="Chart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BEFD291" w14:textId="77777777" w:rsidR="009D5468" w:rsidRPr="005328CD" w:rsidRDefault="009D5468" w:rsidP="009D5468">
      <w:pPr>
        <w:rPr>
          <w:i/>
          <w:sz w:val="16"/>
          <w:szCs w:val="16"/>
          <w:lang w:eastAsia="en-AU"/>
        </w:rPr>
      </w:pPr>
      <w:r w:rsidRPr="00D90A70">
        <w:rPr>
          <w:sz w:val="16"/>
          <w:szCs w:val="16"/>
          <w:highlight w:val="yellow"/>
          <w:lang w:eastAsia="en-AU"/>
        </w:rPr>
        <w:br/>
      </w:r>
      <w:r w:rsidRPr="005328CD">
        <w:rPr>
          <w:i/>
          <w:sz w:val="16"/>
          <w:szCs w:val="16"/>
          <w:lang w:eastAsia="en-AU"/>
        </w:rPr>
        <w:t xml:space="preserve">*Other outcomes include referral to another body or organisation (including regulatory authorities, consultants and contractors), review of clinical management and remedial or disciplinary action. </w:t>
      </w:r>
    </w:p>
    <w:p w14:paraId="5A6DC749" w14:textId="77777777" w:rsidR="009D5468" w:rsidRDefault="009D5468" w:rsidP="009D5468">
      <w:pPr>
        <w:spacing w:after="200" w:line="276" w:lineRule="auto"/>
        <w:rPr>
          <w:b/>
        </w:rPr>
      </w:pPr>
      <w:r>
        <w:rPr>
          <w:b/>
        </w:rPr>
        <w:br w:type="page"/>
      </w:r>
    </w:p>
    <w:p w14:paraId="408327B7" w14:textId="13FFC5CC" w:rsidR="009D5468" w:rsidRPr="005328CD" w:rsidRDefault="009D5468" w:rsidP="009D5468">
      <w:pPr>
        <w:rPr>
          <w:b/>
        </w:rPr>
      </w:pPr>
      <w:r w:rsidRPr="005328CD">
        <w:rPr>
          <w:b/>
        </w:rPr>
        <w:lastRenderedPageBreak/>
        <w:t xml:space="preserve">Health complaints received by sector </w:t>
      </w:r>
    </w:p>
    <w:p w14:paraId="02977C6A" w14:textId="77777777" w:rsidR="009D5468" w:rsidRPr="005328CD" w:rsidRDefault="009D5468" w:rsidP="009D5468">
      <w:pPr>
        <w:rPr>
          <w:b/>
        </w:rPr>
      </w:pPr>
    </w:p>
    <w:p w14:paraId="088C9553" w14:textId="61905399" w:rsidR="009D5468" w:rsidRPr="005328CD" w:rsidRDefault="009D5468" w:rsidP="009D5468">
      <w:r w:rsidRPr="005328CD">
        <w:rPr>
          <w:color w:val="000000" w:themeColor="text1"/>
        </w:rPr>
        <w:t>Prescribed health service providers</w:t>
      </w:r>
      <w:r w:rsidRPr="005328CD">
        <w:t xml:space="preserve"> are classified as public, private or not-for-profit depending on the service(s) that the provider manages. The following section provides a comparison of the complaints received in the 2017-18 </w:t>
      </w:r>
      <w:r w:rsidR="00D12404">
        <w:t xml:space="preserve">year </w:t>
      </w:r>
      <w:r w:rsidRPr="005328CD">
        <w:t xml:space="preserve">by public, private and not-for-profit providers. </w:t>
      </w:r>
    </w:p>
    <w:p w14:paraId="14494815" w14:textId="77777777" w:rsidR="009D5468" w:rsidRPr="005328CD" w:rsidRDefault="009D5468" w:rsidP="009D5468">
      <w:pPr>
        <w:jc w:val="both"/>
      </w:pPr>
    </w:p>
    <w:p w14:paraId="5A5EF734" w14:textId="71EC0B69" w:rsidR="009D5468" w:rsidRPr="005328CD" w:rsidRDefault="009D5468" w:rsidP="009D5468">
      <w:pPr>
        <w:jc w:val="both"/>
      </w:pPr>
      <w:r w:rsidRPr="005328CD">
        <w:t>In 2017-18, the majority (69%) of complaints data was submitted by public providers. A summary of the number of complaints received, issues identified and the time taken to resolve complaints fo</w:t>
      </w:r>
      <w:r>
        <w:t>r each sector is shown in Table 2</w:t>
      </w:r>
      <w:r w:rsidRPr="005328CD">
        <w:t>.</w:t>
      </w:r>
    </w:p>
    <w:p w14:paraId="083E6F95" w14:textId="77777777" w:rsidR="009D5468" w:rsidRPr="005328CD" w:rsidRDefault="009D5468" w:rsidP="009D5468"/>
    <w:p w14:paraId="5E4B4F4A" w14:textId="6E9C82C7" w:rsidR="009D5468" w:rsidRPr="00C57C70" w:rsidRDefault="009D5468" w:rsidP="009D5468">
      <w:pPr>
        <w:rPr>
          <w:b/>
        </w:rPr>
      </w:pPr>
      <w:r>
        <w:rPr>
          <w:b/>
        </w:rPr>
        <w:t>Table 2</w:t>
      </w:r>
      <w:r w:rsidRPr="00C57C70">
        <w:rPr>
          <w:b/>
        </w:rPr>
        <w:t xml:space="preserve">: Summary of health complaints received by sector </w:t>
      </w:r>
    </w:p>
    <w:tbl>
      <w:tblPr>
        <w:tblStyle w:val="TableGrid"/>
        <w:tblW w:w="0" w:type="auto"/>
        <w:tblLook w:val="04A0" w:firstRow="1" w:lastRow="0" w:firstColumn="1" w:lastColumn="0" w:noHBand="0" w:noVBand="1"/>
      </w:tblPr>
      <w:tblGrid>
        <w:gridCol w:w="3080"/>
        <w:gridCol w:w="3081"/>
        <w:gridCol w:w="3081"/>
      </w:tblGrid>
      <w:tr w:rsidR="009D5468" w:rsidRPr="00C57C70" w14:paraId="2D4E9B86" w14:textId="77777777" w:rsidTr="009D5468">
        <w:trPr>
          <w:trHeight w:val="567"/>
        </w:trPr>
        <w:tc>
          <w:tcPr>
            <w:tcW w:w="3080" w:type="dxa"/>
            <w:shd w:val="clear" w:color="auto" w:fill="04425E"/>
            <w:vAlign w:val="center"/>
          </w:tcPr>
          <w:p w14:paraId="0A2DB183" w14:textId="77777777" w:rsidR="009D5468" w:rsidRPr="00C57C70" w:rsidRDefault="009D5468" w:rsidP="009D5468">
            <w:pPr>
              <w:pStyle w:val="Subheadlines"/>
              <w:jc w:val="center"/>
              <w:rPr>
                <w:color w:val="FFFFFF" w:themeColor="background1"/>
                <w:sz w:val="24"/>
                <w:szCs w:val="28"/>
              </w:rPr>
            </w:pPr>
            <w:r w:rsidRPr="00C57C70">
              <w:rPr>
                <w:color w:val="FFFFFF" w:themeColor="background1"/>
                <w:sz w:val="24"/>
                <w:szCs w:val="28"/>
              </w:rPr>
              <w:t>Public</w:t>
            </w:r>
          </w:p>
        </w:tc>
        <w:tc>
          <w:tcPr>
            <w:tcW w:w="3081" w:type="dxa"/>
            <w:shd w:val="clear" w:color="auto" w:fill="2487C4"/>
            <w:vAlign w:val="center"/>
          </w:tcPr>
          <w:p w14:paraId="15FFAA16" w14:textId="77777777" w:rsidR="009D5468" w:rsidRPr="00C57C70" w:rsidRDefault="009D5468" w:rsidP="009D5468">
            <w:pPr>
              <w:pStyle w:val="Subheadlines"/>
              <w:jc w:val="center"/>
              <w:rPr>
                <w:color w:val="FFFFFF" w:themeColor="background1"/>
                <w:sz w:val="24"/>
                <w:szCs w:val="28"/>
              </w:rPr>
            </w:pPr>
            <w:r w:rsidRPr="00C57C70">
              <w:rPr>
                <w:color w:val="FFFFFF" w:themeColor="background1"/>
                <w:sz w:val="24"/>
                <w:szCs w:val="28"/>
              </w:rPr>
              <w:t>Private</w:t>
            </w:r>
          </w:p>
        </w:tc>
        <w:tc>
          <w:tcPr>
            <w:tcW w:w="3081" w:type="dxa"/>
            <w:shd w:val="clear" w:color="auto" w:fill="F7941E"/>
            <w:vAlign w:val="center"/>
          </w:tcPr>
          <w:p w14:paraId="0C2CCA03" w14:textId="77777777" w:rsidR="009D5468" w:rsidRPr="00C57C70" w:rsidRDefault="009D5468" w:rsidP="009D5468">
            <w:pPr>
              <w:pStyle w:val="Subheadlines"/>
              <w:jc w:val="center"/>
              <w:rPr>
                <w:color w:val="FFFFFF" w:themeColor="background1"/>
                <w:sz w:val="24"/>
                <w:szCs w:val="28"/>
              </w:rPr>
            </w:pPr>
            <w:r w:rsidRPr="00C57C70">
              <w:rPr>
                <w:color w:val="FFFFFF" w:themeColor="background1"/>
                <w:sz w:val="24"/>
                <w:szCs w:val="28"/>
              </w:rPr>
              <w:t>Not-for-profit</w:t>
            </w:r>
          </w:p>
        </w:tc>
      </w:tr>
      <w:tr w:rsidR="009D5468" w:rsidRPr="00C57C70" w14:paraId="35F8FC6F" w14:textId="77777777" w:rsidTr="009D5468">
        <w:trPr>
          <w:trHeight w:val="680"/>
        </w:trPr>
        <w:tc>
          <w:tcPr>
            <w:tcW w:w="3080" w:type="dxa"/>
            <w:shd w:val="clear" w:color="auto" w:fill="auto"/>
            <w:vAlign w:val="center"/>
          </w:tcPr>
          <w:p w14:paraId="3BB133A1" w14:textId="77777777" w:rsidR="009D5468" w:rsidRPr="00C57C70" w:rsidRDefault="009D5468" w:rsidP="009D5468">
            <w:pPr>
              <w:pStyle w:val="Subheadlines"/>
              <w:rPr>
                <w:b w:val="0"/>
                <w:color w:val="auto"/>
                <w:sz w:val="24"/>
              </w:rPr>
            </w:pPr>
            <w:r w:rsidRPr="00C57C70">
              <w:rPr>
                <w:color w:val="auto"/>
                <w:sz w:val="24"/>
              </w:rPr>
              <w:t>4,743</w:t>
            </w:r>
            <w:r w:rsidRPr="00C57C70">
              <w:rPr>
                <w:b w:val="0"/>
                <w:color w:val="auto"/>
                <w:sz w:val="24"/>
              </w:rPr>
              <w:t xml:space="preserve"> complaints</w:t>
            </w:r>
          </w:p>
        </w:tc>
        <w:tc>
          <w:tcPr>
            <w:tcW w:w="3081" w:type="dxa"/>
            <w:shd w:val="clear" w:color="auto" w:fill="auto"/>
            <w:vAlign w:val="center"/>
          </w:tcPr>
          <w:p w14:paraId="18167A10" w14:textId="77777777" w:rsidR="009D5468" w:rsidRPr="00C57C70" w:rsidRDefault="009D5468" w:rsidP="009D5468">
            <w:pPr>
              <w:pStyle w:val="Subheadlines"/>
              <w:rPr>
                <w:b w:val="0"/>
                <w:color w:val="auto"/>
                <w:sz w:val="24"/>
              </w:rPr>
            </w:pPr>
            <w:r w:rsidRPr="00C57C70">
              <w:rPr>
                <w:color w:val="auto"/>
                <w:sz w:val="24"/>
              </w:rPr>
              <w:t>1,486</w:t>
            </w:r>
            <w:r w:rsidRPr="00C57C70">
              <w:rPr>
                <w:b w:val="0"/>
                <w:color w:val="auto"/>
                <w:sz w:val="24"/>
              </w:rPr>
              <w:t xml:space="preserve"> complaints</w:t>
            </w:r>
          </w:p>
        </w:tc>
        <w:tc>
          <w:tcPr>
            <w:tcW w:w="3081" w:type="dxa"/>
            <w:shd w:val="clear" w:color="auto" w:fill="auto"/>
            <w:vAlign w:val="center"/>
          </w:tcPr>
          <w:p w14:paraId="315571BC" w14:textId="77777777" w:rsidR="009D5468" w:rsidRPr="00C57C70" w:rsidRDefault="009D5468" w:rsidP="009D5468">
            <w:pPr>
              <w:pStyle w:val="Subheadlines"/>
              <w:rPr>
                <w:b w:val="0"/>
                <w:color w:val="auto"/>
                <w:sz w:val="24"/>
              </w:rPr>
            </w:pPr>
            <w:r w:rsidRPr="00C57C70">
              <w:rPr>
                <w:color w:val="auto"/>
                <w:sz w:val="24"/>
              </w:rPr>
              <w:t>621</w:t>
            </w:r>
            <w:r w:rsidRPr="00C57C70">
              <w:rPr>
                <w:b w:val="0"/>
                <w:color w:val="auto"/>
                <w:sz w:val="24"/>
              </w:rPr>
              <w:t xml:space="preserve"> complaints</w:t>
            </w:r>
          </w:p>
        </w:tc>
      </w:tr>
      <w:tr w:rsidR="009D5468" w:rsidRPr="00C57C70" w14:paraId="4CE11A77" w14:textId="77777777" w:rsidTr="009D5468">
        <w:trPr>
          <w:trHeight w:val="680"/>
        </w:trPr>
        <w:tc>
          <w:tcPr>
            <w:tcW w:w="3080" w:type="dxa"/>
            <w:shd w:val="clear" w:color="auto" w:fill="auto"/>
            <w:vAlign w:val="center"/>
          </w:tcPr>
          <w:p w14:paraId="2BF8FE93" w14:textId="77777777" w:rsidR="009D5468" w:rsidRPr="00C57C70" w:rsidRDefault="009D5468" w:rsidP="009D5468">
            <w:pPr>
              <w:pStyle w:val="Subheadlines"/>
              <w:rPr>
                <w:b w:val="0"/>
                <w:color w:val="auto"/>
                <w:sz w:val="24"/>
              </w:rPr>
            </w:pPr>
            <w:r w:rsidRPr="00C57C70">
              <w:rPr>
                <w:color w:val="auto"/>
                <w:sz w:val="24"/>
              </w:rPr>
              <w:t>7,855</w:t>
            </w:r>
            <w:r w:rsidRPr="00C57C70">
              <w:rPr>
                <w:b w:val="0"/>
                <w:color w:val="auto"/>
                <w:sz w:val="24"/>
              </w:rPr>
              <w:t xml:space="preserve"> issues</w:t>
            </w:r>
          </w:p>
        </w:tc>
        <w:tc>
          <w:tcPr>
            <w:tcW w:w="3081" w:type="dxa"/>
            <w:shd w:val="clear" w:color="auto" w:fill="auto"/>
            <w:vAlign w:val="center"/>
          </w:tcPr>
          <w:p w14:paraId="0A4B157D" w14:textId="77777777" w:rsidR="009D5468" w:rsidRPr="00C57C70" w:rsidRDefault="009D5468" w:rsidP="009D5468">
            <w:pPr>
              <w:pStyle w:val="Subheadlines"/>
              <w:rPr>
                <w:b w:val="0"/>
                <w:color w:val="auto"/>
                <w:sz w:val="24"/>
              </w:rPr>
            </w:pPr>
            <w:r>
              <w:rPr>
                <w:color w:val="auto"/>
                <w:sz w:val="24"/>
              </w:rPr>
              <w:t>2</w:t>
            </w:r>
            <w:r w:rsidRPr="00C57C70">
              <w:rPr>
                <w:color w:val="auto"/>
                <w:sz w:val="24"/>
              </w:rPr>
              <w:t>,</w:t>
            </w:r>
            <w:r>
              <w:rPr>
                <w:color w:val="auto"/>
                <w:sz w:val="24"/>
              </w:rPr>
              <w:t>843</w:t>
            </w:r>
            <w:r w:rsidRPr="00C57C70">
              <w:rPr>
                <w:b w:val="0"/>
                <w:color w:val="auto"/>
                <w:sz w:val="24"/>
              </w:rPr>
              <w:t xml:space="preserve"> issues</w:t>
            </w:r>
          </w:p>
        </w:tc>
        <w:tc>
          <w:tcPr>
            <w:tcW w:w="3081" w:type="dxa"/>
            <w:shd w:val="clear" w:color="auto" w:fill="auto"/>
            <w:vAlign w:val="center"/>
          </w:tcPr>
          <w:p w14:paraId="7D8405D8" w14:textId="77777777" w:rsidR="009D5468" w:rsidRPr="00C57C70" w:rsidRDefault="009D5468" w:rsidP="009D5468">
            <w:pPr>
              <w:pStyle w:val="Subheadlines"/>
              <w:rPr>
                <w:b w:val="0"/>
                <w:color w:val="auto"/>
                <w:sz w:val="24"/>
              </w:rPr>
            </w:pPr>
            <w:r w:rsidRPr="00C57C70">
              <w:rPr>
                <w:color w:val="auto"/>
                <w:sz w:val="24"/>
              </w:rPr>
              <w:t>750</w:t>
            </w:r>
            <w:r w:rsidRPr="00C57C70">
              <w:rPr>
                <w:b w:val="0"/>
                <w:color w:val="auto"/>
                <w:sz w:val="24"/>
              </w:rPr>
              <w:t xml:space="preserve"> issues</w:t>
            </w:r>
          </w:p>
        </w:tc>
      </w:tr>
      <w:tr w:rsidR="009D5468" w:rsidRPr="00C57C70" w14:paraId="160C58C6" w14:textId="77777777" w:rsidTr="009D5468">
        <w:trPr>
          <w:trHeight w:val="680"/>
        </w:trPr>
        <w:tc>
          <w:tcPr>
            <w:tcW w:w="3080" w:type="dxa"/>
            <w:shd w:val="clear" w:color="auto" w:fill="auto"/>
            <w:vAlign w:val="center"/>
          </w:tcPr>
          <w:p w14:paraId="72C12FC1" w14:textId="77777777" w:rsidR="009D5468" w:rsidRPr="00C57C70" w:rsidRDefault="009D5468" w:rsidP="009D5468">
            <w:pPr>
              <w:pStyle w:val="Subheadlines"/>
              <w:rPr>
                <w:b w:val="0"/>
                <w:color w:val="auto"/>
                <w:sz w:val="24"/>
              </w:rPr>
            </w:pPr>
            <w:r w:rsidRPr="00C57C70">
              <w:rPr>
                <w:b w:val="0"/>
                <w:color w:val="auto"/>
                <w:sz w:val="24"/>
              </w:rPr>
              <w:t xml:space="preserve">Average </w:t>
            </w:r>
            <w:r w:rsidRPr="00C57C70">
              <w:rPr>
                <w:color w:val="auto"/>
                <w:sz w:val="24"/>
              </w:rPr>
              <w:t>1.7</w:t>
            </w:r>
            <w:r w:rsidRPr="00C57C70">
              <w:rPr>
                <w:b w:val="0"/>
                <w:color w:val="auto"/>
                <w:sz w:val="24"/>
              </w:rPr>
              <w:t xml:space="preserve"> issues per complaint</w:t>
            </w:r>
          </w:p>
        </w:tc>
        <w:tc>
          <w:tcPr>
            <w:tcW w:w="3081" w:type="dxa"/>
            <w:shd w:val="clear" w:color="auto" w:fill="auto"/>
            <w:vAlign w:val="center"/>
          </w:tcPr>
          <w:p w14:paraId="7851E7DC" w14:textId="77777777" w:rsidR="009D5468" w:rsidRPr="00C57C70" w:rsidRDefault="009D5468" w:rsidP="009D5468">
            <w:pPr>
              <w:pStyle w:val="Subheadlines"/>
              <w:rPr>
                <w:b w:val="0"/>
                <w:color w:val="auto"/>
                <w:sz w:val="24"/>
              </w:rPr>
            </w:pPr>
            <w:r w:rsidRPr="00C57C70">
              <w:rPr>
                <w:b w:val="0"/>
                <w:color w:val="auto"/>
                <w:sz w:val="24"/>
              </w:rPr>
              <w:t xml:space="preserve">Average </w:t>
            </w:r>
            <w:r>
              <w:rPr>
                <w:color w:val="auto"/>
                <w:sz w:val="24"/>
              </w:rPr>
              <w:t>1.9</w:t>
            </w:r>
            <w:r w:rsidRPr="00C57C70">
              <w:rPr>
                <w:b w:val="0"/>
                <w:color w:val="auto"/>
                <w:sz w:val="24"/>
              </w:rPr>
              <w:t xml:space="preserve"> issues per complaint</w:t>
            </w:r>
          </w:p>
        </w:tc>
        <w:tc>
          <w:tcPr>
            <w:tcW w:w="3081" w:type="dxa"/>
            <w:shd w:val="clear" w:color="auto" w:fill="auto"/>
            <w:vAlign w:val="center"/>
          </w:tcPr>
          <w:p w14:paraId="7938E093" w14:textId="77777777" w:rsidR="009D5468" w:rsidRPr="00C57C70" w:rsidRDefault="009D5468" w:rsidP="009D5468">
            <w:pPr>
              <w:pStyle w:val="Subheadlines"/>
              <w:rPr>
                <w:b w:val="0"/>
                <w:color w:val="auto"/>
                <w:sz w:val="24"/>
              </w:rPr>
            </w:pPr>
            <w:r w:rsidRPr="00C57C70">
              <w:rPr>
                <w:b w:val="0"/>
                <w:color w:val="auto"/>
                <w:sz w:val="24"/>
              </w:rPr>
              <w:t xml:space="preserve">Average </w:t>
            </w:r>
            <w:r w:rsidRPr="00C57C70">
              <w:rPr>
                <w:color w:val="auto"/>
                <w:sz w:val="24"/>
              </w:rPr>
              <w:t>1.2</w:t>
            </w:r>
            <w:r w:rsidRPr="00C57C70">
              <w:rPr>
                <w:b w:val="0"/>
                <w:color w:val="auto"/>
                <w:sz w:val="24"/>
              </w:rPr>
              <w:t xml:space="preserve"> issues per complaint</w:t>
            </w:r>
          </w:p>
        </w:tc>
      </w:tr>
      <w:tr w:rsidR="009D5468" w:rsidRPr="00D90A70" w14:paraId="49E9FE62" w14:textId="77777777" w:rsidTr="009D5468">
        <w:trPr>
          <w:trHeight w:val="680"/>
        </w:trPr>
        <w:tc>
          <w:tcPr>
            <w:tcW w:w="3080" w:type="dxa"/>
            <w:shd w:val="clear" w:color="auto" w:fill="auto"/>
            <w:vAlign w:val="center"/>
          </w:tcPr>
          <w:p w14:paraId="72B650A9" w14:textId="77777777" w:rsidR="009D5468" w:rsidRPr="00C57C70" w:rsidRDefault="009D5468" w:rsidP="009D5468">
            <w:pPr>
              <w:pStyle w:val="Subheadlines"/>
              <w:rPr>
                <w:b w:val="0"/>
                <w:color w:val="auto"/>
                <w:sz w:val="24"/>
              </w:rPr>
            </w:pPr>
            <w:r>
              <w:rPr>
                <w:color w:val="auto"/>
                <w:sz w:val="24"/>
              </w:rPr>
              <w:t>81</w:t>
            </w:r>
            <w:r w:rsidRPr="00C57C70">
              <w:rPr>
                <w:color w:val="auto"/>
                <w:sz w:val="24"/>
              </w:rPr>
              <w:t>%</w:t>
            </w:r>
            <w:r w:rsidRPr="00C57C70">
              <w:rPr>
                <w:b w:val="0"/>
                <w:color w:val="auto"/>
                <w:sz w:val="24"/>
              </w:rPr>
              <w:t xml:space="preserve"> of complaints resolved within 30 days</w:t>
            </w:r>
          </w:p>
        </w:tc>
        <w:tc>
          <w:tcPr>
            <w:tcW w:w="3081" w:type="dxa"/>
            <w:shd w:val="clear" w:color="auto" w:fill="auto"/>
            <w:vAlign w:val="center"/>
          </w:tcPr>
          <w:p w14:paraId="57414E17" w14:textId="77777777" w:rsidR="009D5468" w:rsidRPr="00C57C70" w:rsidRDefault="009D5468" w:rsidP="009D5468">
            <w:pPr>
              <w:pStyle w:val="Subheadlines"/>
              <w:rPr>
                <w:b w:val="0"/>
                <w:color w:val="auto"/>
                <w:sz w:val="24"/>
              </w:rPr>
            </w:pPr>
            <w:r w:rsidRPr="00C57C70">
              <w:rPr>
                <w:color w:val="auto"/>
                <w:sz w:val="24"/>
              </w:rPr>
              <w:t>77%</w:t>
            </w:r>
            <w:r w:rsidRPr="00C57C70">
              <w:rPr>
                <w:b w:val="0"/>
                <w:color w:val="auto"/>
                <w:sz w:val="24"/>
              </w:rPr>
              <w:t xml:space="preserve"> of complaints resolved within 30 days</w:t>
            </w:r>
          </w:p>
        </w:tc>
        <w:tc>
          <w:tcPr>
            <w:tcW w:w="3081" w:type="dxa"/>
            <w:shd w:val="clear" w:color="auto" w:fill="auto"/>
            <w:vAlign w:val="center"/>
          </w:tcPr>
          <w:p w14:paraId="7F5DBB5E" w14:textId="77777777" w:rsidR="009D5468" w:rsidRPr="00C57C70" w:rsidRDefault="009D5468" w:rsidP="009D5468">
            <w:pPr>
              <w:pStyle w:val="Subheadlines"/>
              <w:rPr>
                <w:b w:val="0"/>
                <w:color w:val="auto"/>
                <w:sz w:val="24"/>
              </w:rPr>
            </w:pPr>
            <w:r w:rsidRPr="00C57C70">
              <w:rPr>
                <w:color w:val="auto"/>
                <w:sz w:val="24"/>
              </w:rPr>
              <w:t>55%</w:t>
            </w:r>
            <w:r w:rsidRPr="00C57C70">
              <w:rPr>
                <w:b w:val="0"/>
                <w:color w:val="auto"/>
                <w:sz w:val="24"/>
              </w:rPr>
              <w:t xml:space="preserve"> of complaints resolved within 30 days</w:t>
            </w:r>
          </w:p>
        </w:tc>
      </w:tr>
    </w:tbl>
    <w:p w14:paraId="30D0CB65" w14:textId="77777777" w:rsidR="009D5468" w:rsidRPr="00D90A70" w:rsidRDefault="009D5468" w:rsidP="009D5468">
      <w:pPr>
        <w:rPr>
          <w:b/>
          <w:color w:val="5F5F5F"/>
          <w:highlight w:val="yellow"/>
        </w:rPr>
      </w:pPr>
    </w:p>
    <w:p w14:paraId="5517BAB5" w14:textId="77777777" w:rsidR="009D5468" w:rsidRPr="00D90A70" w:rsidRDefault="009D5468" w:rsidP="009D5468">
      <w:pPr>
        <w:rPr>
          <w:b/>
          <w:color w:val="5F5F5F"/>
          <w:highlight w:val="yellow"/>
        </w:rPr>
      </w:pPr>
    </w:p>
    <w:p w14:paraId="0A628381" w14:textId="77777777" w:rsidR="009D5468" w:rsidRPr="00D90A70" w:rsidRDefault="009D5468" w:rsidP="009D5468">
      <w:pPr>
        <w:rPr>
          <w:b/>
          <w:color w:val="5F5F5F"/>
          <w:highlight w:val="yellow"/>
        </w:rPr>
      </w:pPr>
    </w:p>
    <w:p w14:paraId="005BA5DD" w14:textId="77777777" w:rsidR="009D5468" w:rsidRPr="00D90A70" w:rsidRDefault="009D5468" w:rsidP="009D5468">
      <w:pPr>
        <w:rPr>
          <w:b/>
          <w:color w:val="5F5F5F"/>
          <w:highlight w:val="yellow"/>
        </w:rPr>
      </w:pPr>
    </w:p>
    <w:p w14:paraId="56F6B306" w14:textId="77777777" w:rsidR="009D5468" w:rsidRPr="00D90A70" w:rsidRDefault="009D5468" w:rsidP="009D5468">
      <w:pPr>
        <w:rPr>
          <w:b/>
          <w:color w:val="5F5F5F"/>
          <w:highlight w:val="yellow"/>
        </w:rPr>
      </w:pPr>
    </w:p>
    <w:p w14:paraId="513EDFAC" w14:textId="77777777" w:rsidR="009D5468" w:rsidRPr="00D90A70" w:rsidRDefault="009D5468" w:rsidP="009D5468">
      <w:pPr>
        <w:rPr>
          <w:b/>
          <w:color w:val="5F5F5F"/>
          <w:highlight w:val="yellow"/>
        </w:rPr>
      </w:pPr>
    </w:p>
    <w:p w14:paraId="7417A053" w14:textId="77777777" w:rsidR="009D5468" w:rsidRPr="00D90A70" w:rsidRDefault="009D5468" w:rsidP="009D5468">
      <w:pPr>
        <w:rPr>
          <w:b/>
          <w:color w:val="5F5F5F"/>
          <w:highlight w:val="yellow"/>
        </w:rPr>
      </w:pPr>
    </w:p>
    <w:p w14:paraId="496E7DFF" w14:textId="77777777" w:rsidR="009D5468" w:rsidRPr="00D90A70" w:rsidRDefault="009D5468" w:rsidP="009D5468">
      <w:pPr>
        <w:rPr>
          <w:b/>
          <w:color w:val="5F5F5F"/>
          <w:highlight w:val="yellow"/>
        </w:rPr>
      </w:pPr>
    </w:p>
    <w:p w14:paraId="2EE4846B" w14:textId="77777777" w:rsidR="009D5468" w:rsidRPr="00D90A70" w:rsidRDefault="009D5468" w:rsidP="009D5468">
      <w:pPr>
        <w:rPr>
          <w:b/>
          <w:color w:val="5F5F5F"/>
          <w:highlight w:val="yellow"/>
        </w:rPr>
      </w:pPr>
    </w:p>
    <w:p w14:paraId="0FB8BC1D" w14:textId="77777777" w:rsidR="009D5468" w:rsidRPr="00D90A70" w:rsidRDefault="009D5468" w:rsidP="009D5468">
      <w:pPr>
        <w:spacing w:line="276" w:lineRule="auto"/>
        <w:rPr>
          <w:b/>
          <w:color w:val="5F5F5F"/>
          <w:highlight w:val="yellow"/>
        </w:rPr>
      </w:pPr>
    </w:p>
    <w:p w14:paraId="3D1563B3" w14:textId="77777777" w:rsidR="009D5468" w:rsidRPr="00D90A70" w:rsidRDefault="009D5468" w:rsidP="009D5468">
      <w:pPr>
        <w:spacing w:after="200" w:line="276" w:lineRule="auto"/>
        <w:rPr>
          <w:b/>
          <w:highlight w:val="yellow"/>
        </w:rPr>
      </w:pPr>
      <w:r w:rsidRPr="00D90A70">
        <w:rPr>
          <w:b/>
          <w:highlight w:val="yellow"/>
        </w:rPr>
        <w:br w:type="page"/>
      </w:r>
    </w:p>
    <w:p w14:paraId="789EA895" w14:textId="77777777" w:rsidR="009D5468" w:rsidRPr="00774A8B" w:rsidRDefault="009D5468" w:rsidP="009D5468">
      <w:pPr>
        <w:rPr>
          <w:b/>
        </w:rPr>
      </w:pPr>
      <w:r w:rsidRPr="00774A8B">
        <w:rPr>
          <w:b/>
        </w:rPr>
        <w:lastRenderedPageBreak/>
        <w:t>Complaint issues by sector</w:t>
      </w:r>
    </w:p>
    <w:p w14:paraId="79B6652B" w14:textId="77777777" w:rsidR="009D5468" w:rsidRPr="00774A8B" w:rsidRDefault="009D5468" w:rsidP="009D5468">
      <w:pPr>
        <w:rPr>
          <w:b/>
        </w:rPr>
      </w:pPr>
    </w:p>
    <w:p w14:paraId="65542B5D" w14:textId="78E403FF" w:rsidR="009D5468" w:rsidRPr="00774A8B" w:rsidRDefault="009D5468" w:rsidP="009D5468">
      <w:pPr>
        <w:jc w:val="both"/>
      </w:pPr>
      <w:r w:rsidRPr="00774A8B">
        <w:t>Quality of clinical care and communication were the most common issues across all sectors. The third most common is</w:t>
      </w:r>
      <w:r>
        <w:t>sue differed across the sectors;</w:t>
      </w:r>
      <w:r w:rsidRPr="00774A8B">
        <w:t xml:space="preserve"> access (18%) in the public</w:t>
      </w:r>
      <w:r>
        <w:t xml:space="preserve"> sector;</w:t>
      </w:r>
      <w:r w:rsidRPr="00774A8B">
        <w:t xml:space="preserve"> costs (16%) in </w:t>
      </w:r>
      <w:r w:rsidR="00D12404">
        <w:t xml:space="preserve">the </w:t>
      </w:r>
      <w:r w:rsidRPr="00774A8B">
        <w:t>private sector</w:t>
      </w:r>
      <w:r>
        <w:t>;</w:t>
      </w:r>
      <w:r w:rsidRPr="00774A8B">
        <w:t xml:space="preserve"> and </w:t>
      </w:r>
      <w:r>
        <w:t>r</w:t>
      </w:r>
      <w:r w:rsidRPr="009D2650">
        <w:t xml:space="preserve">ights, respect and dignity </w:t>
      </w:r>
      <w:r w:rsidRPr="00774A8B">
        <w:t>(13%) in the not-for-profit sector.</w:t>
      </w:r>
    </w:p>
    <w:p w14:paraId="69107BA7" w14:textId="77777777" w:rsidR="009D5468" w:rsidRPr="00774A8B" w:rsidRDefault="009D5468" w:rsidP="009D5468"/>
    <w:p w14:paraId="3864B2F3" w14:textId="3664F681" w:rsidR="009D5468" w:rsidRPr="00774A8B" w:rsidRDefault="009D5468" w:rsidP="009D5468">
      <w:r w:rsidRPr="00774A8B">
        <w:t>The issues identified in complaints received by service providers in 201</w:t>
      </w:r>
      <w:r>
        <w:t>7</w:t>
      </w:r>
      <w:r w:rsidRPr="00774A8B">
        <w:t>-1</w:t>
      </w:r>
      <w:r>
        <w:t>8</w:t>
      </w:r>
      <w:r w:rsidRPr="00774A8B">
        <w:t xml:space="preserve"> split </w:t>
      </w:r>
      <w:r>
        <w:t>by sector are shown in Figure 18</w:t>
      </w:r>
      <w:r w:rsidRPr="00774A8B">
        <w:t xml:space="preserve">. </w:t>
      </w:r>
    </w:p>
    <w:p w14:paraId="0A31E2BB" w14:textId="77777777" w:rsidR="009D5468" w:rsidRPr="00D90A70" w:rsidRDefault="009D5468" w:rsidP="009D5468">
      <w:pPr>
        <w:rPr>
          <w:b/>
          <w:highlight w:val="yellow"/>
        </w:rPr>
      </w:pPr>
    </w:p>
    <w:p w14:paraId="36D3DA3B" w14:textId="092BD9FA" w:rsidR="009D5468" w:rsidRPr="00E56356" w:rsidRDefault="009D5468" w:rsidP="009D5468">
      <w:pPr>
        <w:rPr>
          <w:b/>
        </w:rPr>
      </w:pPr>
      <w:r>
        <w:rPr>
          <w:b/>
        </w:rPr>
        <w:t>Figure 18</w:t>
      </w:r>
      <w:r w:rsidRPr="00E56356">
        <w:rPr>
          <w:b/>
        </w:rPr>
        <w:t xml:space="preserve">: Complaint issues by sector </w:t>
      </w:r>
      <w:r>
        <w:rPr>
          <w:b/>
        </w:rPr>
        <w:t>(2017-18)</w:t>
      </w:r>
    </w:p>
    <w:p w14:paraId="7867C90B" w14:textId="77777777" w:rsidR="009D5468" w:rsidRPr="00006517" w:rsidRDefault="009D5468" w:rsidP="009D5468">
      <w:pPr>
        <w:rPr>
          <w:b/>
        </w:rPr>
      </w:pPr>
      <w:r w:rsidRPr="00006517">
        <w:rPr>
          <w:noProof/>
          <w:lang w:eastAsia="en-AU"/>
        </w:rPr>
        <w:drawing>
          <wp:inline distT="0" distB="0" distL="0" distR="0" wp14:anchorId="470D4E18" wp14:editId="6479CE2D">
            <wp:extent cx="5715000" cy="5295900"/>
            <wp:effectExtent l="0" t="0" r="19050" b="1905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098B35E" w14:textId="77777777" w:rsidR="009D5468" w:rsidRPr="00D90A70" w:rsidRDefault="009D5468" w:rsidP="009D5468">
      <w:pPr>
        <w:rPr>
          <w:i/>
          <w:sz w:val="16"/>
          <w:szCs w:val="16"/>
          <w:highlight w:val="yellow"/>
        </w:rPr>
      </w:pPr>
    </w:p>
    <w:p w14:paraId="3D25E71A" w14:textId="77777777" w:rsidR="009D5468" w:rsidRPr="00E56356" w:rsidRDefault="009D5468" w:rsidP="009D5468">
      <w:pPr>
        <w:rPr>
          <w:b/>
        </w:rPr>
      </w:pPr>
      <w:r w:rsidRPr="00E56356">
        <w:rPr>
          <w:i/>
          <w:sz w:val="16"/>
          <w:szCs w:val="16"/>
        </w:rPr>
        <w:t>Totals may not sum to 100% due to rounding.</w:t>
      </w:r>
    </w:p>
    <w:p w14:paraId="721FB4FF" w14:textId="77777777" w:rsidR="009D5468" w:rsidRPr="00D90A70" w:rsidRDefault="009D5468" w:rsidP="009D5468">
      <w:pPr>
        <w:rPr>
          <w:b/>
          <w:highlight w:val="yellow"/>
        </w:rPr>
      </w:pPr>
    </w:p>
    <w:p w14:paraId="456F91B3" w14:textId="77777777" w:rsidR="009D5468" w:rsidRPr="00D90A70" w:rsidRDefault="009D5468" w:rsidP="009D5468">
      <w:pPr>
        <w:spacing w:after="200" w:line="276" w:lineRule="auto"/>
        <w:rPr>
          <w:highlight w:val="yellow"/>
        </w:rPr>
      </w:pPr>
      <w:r w:rsidRPr="00D90A70">
        <w:rPr>
          <w:highlight w:val="yellow"/>
        </w:rPr>
        <w:br w:type="page"/>
      </w:r>
    </w:p>
    <w:p w14:paraId="64354BA1" w14:textId="5D230BB8" w:rsidR="009D5468" w:rsidRPr="00AF5E5B" w:rsidRDefault="009D5468" w:rsidP="009D5468">
      <w:pPr>
        <w:rPr>
          <w:b/>
        </w:rPr>
      </w:pPr>
      <w:r w:rsidRPr="00AF5E5B">
        <w:rPr>
          <w:b/>
        </w:rPr>
        <w:lastRenderedPageBreak/>
        <w:t>Outcome</w:t>
      </w:r>
      <w:r w:rsidR="00517C24">
        <w:rPr>
          <w:b/>
        </w:rPr>
        <w:t>s</w:t>
      </w:r>
      <w:r w:rsidRPr="00AF5E5B">
        <w:rPr>
          <w:b/>
        </w:rPr>
        <w:t xml:space="preserve"> achieved by sector</w:t>
      </w:r>
    </w:p>
    <w:p w14:paraId="6BA343E4" w14:textId="77777777" w:rsidR="009D5468" w:rsidRPr="00AF5E5B" w:rsidRDefault="009D5468" w:rsidP="009D5468">
      <w:pPr>
        <w:rPr>
          <w:b/>
        </w:rPr>
      </w:pPr>
    </w:p>
    <w:p w14:paraId="71706AF3" w14:textId="11413D47" w:rsidR="009D5468" w:rsidRPr="00AF5E5B" w:rsidRDefault="009D5468" w:rsidP="009D5468">
      <w:r w:rsidRPr="00AF5E5B">
        <w:t>The most commonly identified outcomes across all sector</w:t>
      </w:r>
      <w:r w:rsidR="00D12404">
        <w:t>s were providing an explanation; providing an apology;</w:t>
      </w:r>
      <w:r w:rsidRPr="00AF5E5B">
        <w:t xml:space="preserve"> or </w:t>
      </w:r>
      <w:r>
        <w:t xml:space="preserve">concern registered. </w:t>
      </w:r>
      <w:r w:rsidRPr="00AF5E5B">
        <w:t xml:space="preserve">The most common outcomes for each sector were the same; however the </w:t>
      </w:r>
      <w:r>
        <w:t>proportion of complaints achieving a specific outcome differed</w:t>
      </w:r>
      <w:r w:rsidRPr="00AF5E5B">
        <w:t xml:space="preserve"> across th</w:t>
      </w:r>
      <w:r>
        <w:t>e sectors, as shown in Figure 19</w:t>
      </w:r>
      <w:r w:rsidRPr="00AF5E5B">
        <w:t>. The most common outcome</w:t>
      </w:r>
      <w:r>
        <w:t xml:space="preserve"> for the public and privates sectors was explanation provided, while </w:t>
      </w:r>
      <w:r w:rsidRPr="00AF5E5B">
        <w:t>concern register</w:t>
      </w:r>
      <w:r>
        <w:t>ed</w:t>
      </w:r>
      <w:r w:rsidRPr="00AF5E5B">
        <w:t xml:space="preserve"> was the most common outcome for the not-for-profit sector.</w:t>
      </w:r>
    </w:p>
    <w:p w14:paraId="00C3E67D" w14:textId="77777777" w:rsidR="009D5468" w:rsidRPr="00D90A70" w:rsidRDefault="009D5468" w:rsidP="009D5468">
      <w:pPr>
        <w:rPr>
          <w:b/>
          <w:highlight w:val="yellow"/>
        </w:rPr>
      </w:pPr>
    </w:p>
    <w:p w14:paraId="766E06C6" w14:textId="3545AE44" w:rsidR="009D5468" w:rsidRPr="00E56356" w:rsidRDefault="009D5468" w:rsidP="009D5468">
      <w:pPr>
        <w:rPr>
          <w:b/>
        </w:rPr>
      </w:pPr>
      <w:r>
        <w:rPr>
          <w:b/>
        </w:rPr>
        <w:t>Figure 19</w:t>
      </w:r>
      <w:r w:rsidRPr="00E56356">
        <w:rPr>
          <w:b/>
        </w:rPr>
        <w:t>: O</w:t>
      </w:r>
      <w:r>
        <w:rPr>
          <w:b/>
        </w:rPr>
        <w:t>utcomes achieved by sector (2017-18</w:t>
      </w:r>
      <w:r w:rsidRPr="00E56356">
        <w:rPr>
          <w:b/>
        </w:rPr>
        <w:t>)</w:t>
      </w:r>
    </w:p>
    <w:p w14:paraId="7606D110" w14:textId="77777777" w:rsidR="009D5468" w:rsidRPr="00AF5E5B" w:rsidRDefault="009D5468" w:rsidP="009D5468">
      <w:pPr>
        <w:rPr>
          <w:b/>
        </w:rPr>
      </w:pPr>
      <w:r w:rsidRPr="00AF5E5B">
        <w:rPr>
          <w:noProof/>
          <w:lang w:eastAsia="en-AU"/>
        </w:rPr>
        <w:drawing>
          <wp:inline distT="0" distB="0" distL="0" distR="0" wp14:anchorId="2FE77DEC" wp14:editId="5ED69DF3">
            <wp:extent cx="5724525" cy="6588000"/>
            <wp:effectExtent l="0" t="0" r="9525" b="2286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E8F5735" w14:textId="77777777" w:rsidR="009D5468" w:rsidRPr="00AF5E5B" w:rsidRDefault="009D5468" w:rsidP="009D5468">
      <w:pPr>
        <w:rPr>
          <w:i/>
          <w:sz w:val="16"/>
          <w:szCs w:val="16"/>
        </w:rPr>
      </w:pPr>
    </w:p>
    <w:p w14:paraId="667FF54F" w14:textId="42BEAB4E" w:rsidR="00556A4C" w:rsidRPr="00832B2F" w:rsidRDefault="009D5468" w:rsidP="009D5468">
      <w:pPr>
        <w:rPr>
          <w:b/>
        </w:rPr>
      </w:pPr>
      <w:r w:rsidRPr="00AF5E5B">
        <w:rPr>
          <w:i/>
          <w:sz w:val="16"/>
          <w:szCs w:val="16"/>
        </w:rPr>
        <w:t>*Other outcomes include referral to another body or organisation (including regulatory authorities, consultants and contractors), review of clinical management and reme</w:t>
      </w:r>
      <w:r w:rsidR="00517C24">
        <w:rPr>
          <w:i/>
          <w:sz w:val="16"/>
          <w:szCs w:val="16"/>
        </w:rPr>
        <w:t>dial or disciplinary action.** T</w:t>
      </w:r>
      <w:r w:rsidRPr="00AF5E5B">
        <w:rPr>
          <w:i/>
          <w:sz w:val="16"/>
          <w:szCs w:val="16"/>
        </w:rPr>
        <w:t>he significant increase in</w:t>
      </w:r>
      <w:r>
        <w:rPr>
          <w:i/>
          <w:sz w:val="16"/>
          <w:szCs w:val="16"/>
        </w:rPr>
        <w:t xml:space="preserve"> unknown outcomes is attributed to a few service</w:t>
      </w:r>
      <w:r w:rsidRPr="00AF5E5B">
        <w:rPr>
          <w:i/>
          <w:sz w:val="16"/>
          <w:szCs w:val="16"/>
        </w:rPr>
        <w:t xml:space="preserve"> provider</w:t>
      </w:r>
      <w:r>
        <w:rPr>
          <w:i/>
          <w:sz w:val="16"/>
          <w:szCs w:val="16"/>
        </w:rPr>
        <w:t>s</w:t>
      </w:r>
      <w:r w:rsidRPr="00AF5E5B">
        <w:rPr>
          <w:i/>
          <w:sz w:val="16"/>
          <w:szCs w:val="16"/>
        </w:rPr>
        <w:t xml:space="preserve"> who </w:t>
      </w:r>
      <w:r w:rsidR="00517C24">
        <w:rPr>
          <w:i/>
          <w:sz w:val="16"/>
          <w:szCs w:val="16"/>
        </w:rPr>
        <w:t>were</w:t>
      </w:r>
      <w:r w:rsidRPr="00AF5E5B">
        <w:rPr>
          <w:i/>
          <w:sz w:val="16"/>
          <w:szCs w:val="16"/>
        </w:rPr>
        <w:t xml:space="preserve"> unable to provide outcome data for the current year</w:t>
      </w:r>
      <w:r>
        <w:rPr>
          <w:i/>
          <w:sz w:val="16"/>
          <w:szCs w:val="16"/>
        </w:rPr>
        <w:t>.</w:t>
      </w:r>
    </w:p>
    <w:bookmarkStart w:id="28" w:name="_Toc427764932"/>
    <w:bookmarkStart w:id="29" w:name="_Toc427767487"/>
    <w:bookmarkStart w:id="30" w:name="_Toc427767898"/>
    <w:bookmarkStart w:id="31" w:name="_Toc427768287"/>
    <w:bookmarkStart w:id="32" w:name="_Toc427768674"/>
    <w:bookmarkStart w:id="33" w:name="_Toc427769061"/>
    <w:bookmarkStart w:id="34" w:name="_Toc427769469"/>
    <w:bookmarkStart w:id="35" w:name="_Toc427764933"/>
    <w:bookmarkStart w:id="36" w:name="_Toc427767488"/>
    <w:bookmarkStart w:id="37" w:name="_Toc427767899"/>
    <w:bookmarkStart w:id="38" w:name="_Toc427768288"/>
    <w:bookmarkStart w:id="39" w:name="_Toc427768675"/>
    <w:bookmarkStart w:id="40" w:name="_Toc427769062"/>
    <w:bookmarkStart w:id="41" w:name="_Toc427769470"/>
    <w:bookmarkStart w:id="42" w:name="_Toc427764934"/>
    <w:bookmarkStart w:id="43" w:name="_Toc427767489"/>
    <w:bookmarkStart w:id="44" w:name="_Toc427767900"/>
    <w:bookmarkStart w:id="45" w:name="_Toc427768289"/>
    <w:bookmarkStart w:id="46" w:name="_Toc427768676"/>
    <w:bookmarkStart w:id="47" w:name="_Toc427769063"/>
    <w:bookmarkStart w:id="48" w:name="_Toc427769471"/>
    <w:bookmarkStart w:id="49" w:name="_Toc427764935"/>
    <w:bookmarkStart w:id="50" w:name="_Toc427767490"/>
    <w:bookmarkStart w:id="51" w:name="_Toc427767901"/>
    <w:bookmarkStart w:id="52" w:name="_Toc427768290"/>
    <w:bookmarkStart w:id="53" w:name="_Toc427768677"/>
    <w:bookmarkStart w:id="54" w:name="_Toc427769064"/>
    <w:bookmarkStart w:id="55" w:name="_Toc427769472"/>
    <w:bookmarkStart w:id="56" w:name="_Toc427764936"/>
    <w:bookmarkStart w:id="57" w:name="_Toc427767491"/>
    <w:bookmarkStart w:id="58" w:name="_Toc427767902"/>
    <w:bookmarkStart w:id="59" w:name="_Toc427768291"/>
    <w:bookmarkStart w:id="60" w:name="_Toc427768678"/>
    <w:bookmarkStart w:id="61" w:name="_Toc427769065"/>
    <w:bookmarkStart w:id="62" w:name="_Toc427769473"/>
    <w:bookmarkStart w:id="63" w:name="_Toc427764937"/>
    <w:bookmarkStart w:id="64" w:name="_Toc427767492"/>
    <w:bookmarkStart w:id="65" w:name="_Toc427767903"/>
    <w:bookmarkStart w:id="66" w:name="_Toc427768292"/>
    <w:bookmarkStart w:id="67" w:name="_Toc427768679"/>
    <w:bookmarkStart w:id="68" w:name="_Toc427769066"/>
    <w:bookmarkStart w:id="69" w:name="_Toc427769474"/>
    <w:bookmarkStart w:id="70" w:name="_Toc427764938"/>
    <w:bookmarkStart w:id="71" w:name="_Toc427767493"/>
    <w:bookmarkStart w:id="72" w:name="_Toc427767904"/>
    <w:bookmarkStart w:id="73" w:name="_Toc427768293"/>
    <w:bookmarkStart w:id="74" w:name="_Toc427768680"/>
    <w:bookmarkStart w:id="75" w:name="_Toc427769067"/>
    <w:bookmarkStart w:id="76" w:name="_Toc427769475"/>
    <w:bookmarkStart w:id="77" w:name="_Toc427764939"/>
    <w:bookmarkStart w:id="78" w:name="_Toc427767494"/>
    <w:bookmarkStart w:id="79" w:name="_Toc427767905"/>
    <w:bookmarkStart w:id="80" w:name="_Toc427768294"/>
    <w:bookmarkStart w:id="81" w:name="_Toc427768681"/>
    <w:bookmarkStart w:id="82" w:name="_Toc427769068"/>
    <w:bookmarkStart w:id="83" w:name="_Toc427769476"/>
    <w:bookmarkStart w:id="84" w:name="_Toc427764940"/>
    <w:bookmarkStart w:id="85" w:name="_Toc427767495"/>
    <w:bookmarkStart w:id="86" w:name="_Toc427767906"/>
    <w:bookmarkStart w:id="87" w:name="_Toc427768295"/>
    <w:bookmarkStart w:id="88" w:name="_Toc427768682"/>
    <w:bookmarkStart w:id="89" w:name="_Toc427769069"/>
    <w:bookmarkStart w:id="90" w:name="_Toc427769477"/>
    <w:bookmarkStart w:id="91" w:name="_Toc427764941"/>
    <w:bookmarkStart w:id="92" w:name="_Toc427767496"/>
    <w:bookmarkStart w:id="93" w:name="_Toc427767907"/>
    <w:bookmarkStart w:id="94" w:name="_Toc427768296"/>
    <w:bookmarkStart w:id="95" w:name="_Toc427768683"/>
    <w:bookmarkStart w:id="96" w:name="_Toc427769070"/>
    <w:bookmarkStart w:id="97" w:name="_Toc427769478"/>
    <w:bookmarkStart w:id="98" w:name="_Toc427764942"/>
    <w:bookmarkStart w:id="99" w:name="_Toc427767497"/>
    <w:bookmarkStart w:id="100" w:name="_Toc427767908"/>
    <w:bookmarkStart w:id="101" w:name="_Toc427768297"/>
    <w:bookmarkStart w:id="102" w:name="_Toc427768684"/>
    <w:bookmarkStart w:id="103" w:name="_Toc427769071"/>
    <w:bookmarkStart w:id="104" w:name="_Toc427769479"/>
    <w:bookmarkStart w:id="105" w:name="_Toc427764943"/>
    <w:bookmarkStart w:id="106" w:name="_Toc427767498"/>
    <w:bookmarkStart w:id="107" w:name="_Toc427767909"/>
    <w:bookmarkStart w:id="108" w:name="_Toc427768298"/>
    <w:bookmarkStart w:id="109" w:name="_Toc427768685"/>
    <w:bookmarkStart w:id="110" w:name="_Toc427769072"/>
    <w:bookmarkStart w:id="111" w:name="_Toc427769480"/>
    <w:bookmarkStart w:id="112" w:name="_Toc427764944"/>
    <w:bookmarkStart w:id="113" w:name="_Toc427767499"/>
    <w:bookmarkStart w:id="114" w:name="_Toc427767910"/>
    <w:bookmarkStart w:id="115" w:name="_Toc427768299"/>
    <w:bookmarkStart w:id="116" w:name="_Toc427768686"/>
    <w:bookmarkStart w:id="117" w:name="_Toc427769073"/>
    <w:bookmarkStart w:id="118" w:name="_Toc427769481"/>
    <w:bookmarkStart w:id="119" w:name="_Toc427764945"/>
    <w:bookmarkStart w:id="120" w:name="_Toc427767500"/>
    <w:bookmarkStart w:id="121" w:name="_Toc427767911"/>
    <w:bookmarkStart w:id="122" w:name="_Toc427768300"/>
    <w:bookmarkStart w:id="123" w:name="_Toc427768687"/>
    <w:bookmarkStart w:id="124" w:name="_Toc427769074"/>
    <w:bookmarkStart w:id="125" w:name="_Toc427769482"/>
    <w:bookmarkStart w:id="126" w:name="_Toc427764946"/>
    <w:bookmarkStart w:id="127" w:name="_Toc427767501"/>
    <w:bookmarkStart w:id="128" w:name="_Toc427767912"/>
    <w:bookmarkStart w:id="129" w:name="_Toc427768301"/>
    <w:bookmarkStart w:id="130" w:name="_Toc427768688"/>
    <w:bookmarkStart w:id="131" w:name="_Toc427769075"/>
    <w:bookmarkStart w:id="132" w:name="_Toc427769483"/>
    <w:bookmarkStart w:id="133" w:name="_Toc427764947"/>
    <w:bookmarkStart w:id="134" w:name="_Toc427767502"/>
    <w:bookmarkStart w:id="135" w:name="_Toc427767913"/>
    <w:bookmarkStart w:id="136" w:name="_Toc427768302"/>
    <w:bookmarkStart w:id="137" w:name="_Toc427768689"/>
    <w:bookmarkStart w:id="138" w:name="_Toc427769076"/>
    <w:bookmarkStart w:id="139" w:name="_Toc427769484"/>
    <w:bookmarkStart w:id="140" w:name="_Toc427764948"/>
    <w:bookmarkStart w:id="141" w:name="_Toc427767503"/>
    <w:bookmarkStart w:id="142" w:name="_Toc427767914"/>
    <w:bookmarkStart w:id="143" w:name="_Toc427768303"/>
    <w:bookmarkStart w:id="144" w:name="_Toc427768690"/>
    <w:bookmarkStart w:id="145" w:name="_Toc427769077"/>
    <w:bookmarkStart w:id="146" w:name="_Toc427769485"/>
    <w:bookmarkStart w:id="147" w:name="_Toc427764949"/>
    <w:bookmarkStart w:id="148" w:name="_Toc427767504"/>
    <w:bookmarkStart w:id="149" w:name="_Toc427767915"/>
    <w:bookmarkStart w:id="150" w:name="_Toc427768304"/>
    <w:bookmarkStart w:id="151" w:name="_Toc427768691"/>
    <w:bookmarkStart w:id="152" w:name="_Toc427769078"/>
    <w:bookmarkStart w:id="153" w:name="_Toc427769486"/>
    <w:bookmarkStart w:id="154" w:name="_Toc427764950"/>
    <w:bookmarkStart w:id="155" w:name="_Toc427767505"/>
    <w:bookmarkStart w:id="156" w:name="_Toc427767916"/>
    <w:bookmarkStart w:id="157" w:name="_Toc427768305"/>
    <w:bookmarkStart w:id="158" w:name="_Toc427768692"/>
    <w:bookmarkStart w:id="159" w:name="_Toc427769079"/>
    <w:bookmarkStart w:id="160" w:name="_Toc427769487"/>
    <w:bookmarkStart w:id="161" w:name="_Toc427764951"/>
    <w:bookmarkStart w:id="162" w:name="_Toc427767506"/>
    <w:bookmarkStart w:id="163" w:name="_Toc427767917"/>
    <w:bookmarkStart w:id="164" w:name="_Toc427768306"/>
    <w:bookmarkStart w:id="165" w:name="_Toc427768693"/>
    <w:bookmarkStart w:id="166" w:name="_Toc427769080"/>
    <w:bookmarkStart w:id="167" w:name="_Toc427769488"/>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14:paraId="55F2D4C1" w14:textId="77777777" w:rsidR="00C942E7" w:rsidRPr="00091849" w:rsidRDefault="001A5AEE" w:rsidP="009B5461">
      <w:pPr>
        <w:spacing w:line="276" w:lineRule="auto"/>
        <w:rPr>
          <w:b/>
          <w:color w:val="002060"/>
          <w:sz w:val="32"/>
          <w:szCs w:val="28"/>
        </w:rPr>
      </w:pPr>
      <w:r w:rsidRPr="00E76E6D">
        <w:rPr>
          <w:b/>
          <w:noProof/>
          <w:color w:val="2487C4"/>
          <w:sz w:val="32"/>
          <w:szCs w:val="28"/>
          <w:lang w:eastAsia="en-AU"/>
        </w:rPr>
        <w:lastRenderedPageBreak/>
        <mc:AlternateContent>
          <mc:Choice Requires="wps">
            <w:drawing>
              <wp:anchor distT="0" distB="0" distL="114300" distR="114300" simplePos="0" relativeHeight="252391424" behindDoc="0" locked="0" layoutInCell="1" allowOverlap="1" wp14:anchorId="688686FD" wp14:editId="2872E7A9">
                <wp:simplePos x="0" y="0"/>
                <wp:positionH relativeFrom="margin">
                  <wp:align>center</wp:align>
                </wp:positionH>
                <wp:positionV relativeFrom="margin">
                  <wp:align>top</wp:align>
                </wp:positionV>
                <wp:extent cx="5749925" cy="795020"/>
                <wp:effectExtent l="19050" t="19050" r="22225" b="24130"/>
                <wp:wrapSquare wrapText="bothSides"/>
                <wp:docPr id="1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795131"/>
                        </a:xfrm>
                        <a:prstGeom prst="rect">
                          <a:avLst/>
                        </a:prstGeom>
                        <a:solidFill>
                          <a:schemeClr val="bg1">
                            <a:lumMod val="85000"/>
                          </a:schemeClr>
                        </a:solidFill>
                        <a:ln w="38100">
                          <a:solidFill>
                            <a:schemeClr val="bg1">
                              <a:lumMod val="50000"/>
                            </a:schemeClr>
                          </a:solidFill>
                          <a:miter lim="800000"/>
                          <a:headEnd/>
                          <a:tailEnd/>
                        </a:ln>
                      </wps:spPr>
                      <wps:txbx>
                        <w:txbxContent>
                          <w:p w14:paraId="120A1336" w14:textId="77777777" w:rsidR="00A03A05" w:rsidRDefault="00A03A05" w:rsidP="008D14DF">
                            <w:pPr>
                              <w:pStyle w:val="Heading2"/>
                              <w:jc w:val="center"/>
                            </w:pPr>
                            <w:bookmarkStart w:id="168" w:name="_Toc492890913"/>
                            <w:bookmarkStart w:id="169" w:name="_Toc492891002"/>
                            <w:bookmarkStart w:id="170" w:name="_Toc492895233"/>
                          </w:p>
                          <w:p w14:paraId="278FAE93" w14:textId="77777777" w:rsidR="00A03A05" w:rsidRPr="0041542C" w:rsidRDefault="00A03A05" w:rsidP="0041542C">
                            <w:pPr>
                              <w:pStyle w:val="Heading2"/>
                              <w:ind w:left="574"/>
                              <w:jc w:val="center"/>
                              <w:rPr>
                                <w:color w:val="04356B"/>
                              </w:rPr>
                            </w:pPr>
                            <w:bookmarkStart w:id="171" w:name="_Toc493506751"/>
                            <w:bookmarkStart w:id="172" w:name="_Toc517683947"/>
                            <w:bookmarkStart w:id="173" w:name="_Toc517701980"/>
                            <w:bookmarkStart w:id="174" w:name="_Toc522094797"/>
                            <w:bookmarkStart w:id="175" w:name="_Toc522103448"/>
                            <w:bookmarkStart w:id="176" w:name="_Toc522276076"/>
                            <w:r w:rsidRPr="0041542C">
                              <w:rPr>
                                <w:color w:val="04356B"/>
                              </w:rPr>
                              <w:t xml:space="preserve">2.5. </w:t>
                            </w:r>
                            <w:bookmarkEnd w:id="168"/>
                            <w:bookmarkEnd w:id="169"/>
                            <w:r w:rsidRPr="0041542C">
                              <w:rPr>
                                <w:color w:val="04356B"/>
                              </w:rPr>
                              <w:t>Complaints about disability services</w:t>
                            </w:r>
                            <w:bookmarkEnd w:id="170"/>
                            <w:bookmarkEnd w:id="171"/>
                            <w:bookmarkEnd w:id="172"/>
                            <w:bookmarkEnd w:id="173"/>
                            <w:bookmarkEnd w:id="174"/>
                            <w:bookmarkEnd w:id="175"/>
                            <w:bookmarkEnd w:id="176"/>
                          </w:p>
                          <w:p w14:paraId="4E28FA78" w14:textId="77777777" w:rsidR="00A03A05" w:rsidRPr="0041542C" w:rsidRDefault="00A03A05" w:rsidP="0041542C">
                            <w:pPr>
                              <w:pStyle w:val="Heading2"/>
                              <w:ind w:left="574"/>
                              <w:jc w:val="center"/>
                              <w:rPr>
                                <w:color w:val="04356B"/>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87" type="#_x0000_t202" style="position:absolute;margin-left:0;margin-top:0;width:452.75pt;height:62.6pt;z-index:252391424;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" fillcolor="#d8d8d8 [2732]" strokecolor="#7f7f7f [1612]" strokeweight="3pt">
                <v:textbox>
                  <w:txbxContent>
                    <w:p w14:paraId="120A1336" w14:textId="77777777" w:rsidR="00A03A05" w:rsidRDefault="00A03A05" w:rsidP="008D14DF">
                      <w:pPr>
                        <w:pStyle w:val="Heading2"/>
                        <w:jc w:val="center"/>
                      </w:pPr>
                      <w:bookmarkStart w:id="212" w:name="_Toc492890913"/>
                      <w:bookmarkStart w:id="213" w:name="_Toc492891002"/>
                      <w:bookmarkStart w:id="214" w:name="_Toc492895233"/>
                    </w:p>
                    <w:p w14:paraId="278FAE93" w14:textId="77777777" w:rsidR="00A03A05" w:rsidRPr="0041542C" w:rsidRDefault="00A03A05" w:rsidP="0041542C">
                      <w:pPr>
                        <w:pStyle w:val="Heading2"/>
                        <w:ind w:left="574"/>
                        <w:jc w:val="center"/>
                        <w:rPr>
                          <w:color w:val="04356B"/>
                        </w:rPr>
                      </w:pPr>
                      <w:bookmarkStart w:id="215" w:name="_Toc493506751"/>
                      <w:bookmarkStart w:id="216" w:name="_Toc517683947"/>
                      <w:bookmarkStart w:id="217" w:name="_Toc517701980"/>
                      <w:bookmarkStart w:id="218" w:name="_Toc522094797"/>
                      <w:bookmarkStart w:id="219" w:name="_Toc522103448"/>
                      <w:bookmarkStart w:id="220" w:name="_Toc522276076"/>
                      <w:r w:rsidRPr="0041542C">
                        <w:rPr>
                          <w:color w:val="04356B"/>
                        </w:rPr>
                        <w:t xml:space="preserve">2.5. </w:t>
                      </w:r>
                      <w:bookmarkEnd w:id="212"/>
                      <w:bookmarkEnd w:id="213"/>
                      <w:r w:rsidRPr="0041542C">
                        <w:rPr>
                          <w:color w:val="04356B"/>
                        </w:rPr>
                        <w:t>Complaints about disability services</w:t>
                      </w:r>
                      <w:bookmarkEnd w:id="214"/>
                      <w:bookmarkEnd w:id="215"/>
                      <w:bookmarkEnd w:id="216"/>
                      <w:bookmarkEnd w:id="217"/>
                      <w:bookmarkEnd w:id="218"/>
                      <w:bookmarkEnd w:id="219"/>
                      <w:bookmarkEnd w:id="220"/>
                    </w:p>
                    <w:p w14:paraId="4E28FA78" w14:textId="77777777" w:rsidR="00A03A05" w:rsidRPr="0041542C" w:rsidRDefault="00A03A05" w:rsidP="0041542C">
                      <w:pPr>
                        <w:pStyle w:val="Heading2"/>
                        <w:ind w:left="574"/>
                        <w:jc w:val="center"/>
                        <w:rPr>
                          <w:color w:val="04356B"/>
                        </w:rPr>
                      </w:pPr>
                    </w:p>
                  </w:txbxContent>
                </v:textbox>
                <w10:wrap type="square" anchorx="margin" anchory="margin"/>
              </v:shape>
            </w:pict>
          </mc:Fallback>
        </mc:AlternateContent>
      </w:r>
    </w:p>
    <w:p w14:paraId="5FD8D005" w14:textId="77777777" w:rsidR="001A5AEE" w:rsidRPr="00916024" w:rsidRDefault="001D19B1" w:rsidP="001126F5">
      <w:pPr>
        <w:pStyle w:val="Heading3"/>
        <w:rPr>
          <w:color w:val="033349"/>
          <w:sz w:val="28"/>
        </w:rPr>
      </w:pPr>
      <w:bookmarkStart w:id="177" w:name="_Toc493506752"/>
      <w:bookmarkStart w:id="178" w:name="_Toc522094798"/>
      <w:r w:rsidRPr="00917FE9">
        <w:rPr>
          <w:color w:val="033349"/>
          <w:sz w:val="28"/>
        </w:rPr>
        <w:t>HaDSCO complaints data</w:t>
      </w:r>
      <w:bookmarkEnd w:id="177"/>
      <w:bookmarkEnd w:id="178"/>
    </w:p>
    <w:p w14:paraId="22ADE40F" w14:textId="69A343A9" w:rsidR="009D5468" w:rsidRDefault="009D5468" w:rsidP="009D5468"/>
    <w:p w14:paraId="4E525559" w14:textId="0617C370" w:rsidR="009D5468" w:rsidRPr="00EC0340" w:rsidRDefault="009D5468" w:rsidP="009D5468">
      <w:r>
        <w:t>Figure 20</w:t>
      </w:r>
      <w:r w:rsidRPr="00F23FA8">
        <w:t xml:space="preserve"> details the number of complaints about disability services received and closed by HaDSCO </w:t>
      </w:r>
      <w:r>
        <w:t>over the past three years</w:t>
      </w:r>
      <w:r w:rsidRPr="00F23FA8">
        <w:t xml:space="preserve">. </w:t>
      </w:r>
      <w:r>
        <w:t xml:space="preserve">HaDSCO received 70 </w:t>
      </w:r>
      <w:r w:rsidRPr="00EC0340">
        <w:t>complaints a</w:t>
      </w:r>
      <w:r>
        <w:t>bout disability services in the 2017-18</w:t>
      </w:r>
      <w:r w:rsidRPr="00EC0340">
        <w:t xml:space="preserve"> financial year. </w:t>
      </w:r>
      <w:r w:rsidR="003B5A2C">
        <w:t xml:space="preserve">Although this represents a </w:t>
      </w:r>
      <w:r>
        <w:t>de</w:t>
      </w:r>
      <w:r w:rsidRPr="00EC0340">
        <w:t>crease compared to</w:t>
      </w:r>
      <w:r>
        <w:t xml:space="preserve"> 2016-17</w:t>
      </w:r>
      <w:r w:rsidR="00217D70">
        <w:t>, it is reasonably</w:t>
      </w:r>
      <w:r w:rsidR="003B5A2C">
        <w:t xml:space="preserve"> consistent the number of complaints received in 2015-16</w:t>
      </w:r>
      <w:r w:rsidRPr="00EC0340">
        <w:t xml:space="preserve">. HaDSCO closed </w:t>
      </w:r>
      <w:r>
        <w:t xml:space="preserve">73 </w:t>
      </w:r>
      <w:r w:rsidRPr="00EC0340">
        <w:t>complaints about</w:t>
      </w:r>
      <w:r>
        <w:t xml:space="preserve"> disability services in 2017-18</w:t>
      </w:r>
      <w:r w:rsidR="003B5A2C">
        <w:t>.</w:t>
      </w:r>
      <w:r w:rsidRPr="00EC0340">
        <w:t xml:space="preserve"> </w:t>
      </w:r>
    </w:p>
    <w:p w14:paraId="47A11BE3" w14:textId="77777777" w:rsidR="009D5468" w:rsidRDefault="009D5468" w:rsidP="009D5468"/>
    <w:p w14:paraId="4221AAC9" w14:textId="71CCBAF0" w:rsidR="009D5468" w:rsidRDefault="009D5468" w:rsidP="009D5468">
      <w:pPr>
        <w:pStyle w:val="Normal-L3"/>
        <w:spacing w:line="276" w:lineRule="auto"/>
        <w:rPr>
          <w:rFonts w:eastAsiaTheme="majorEastAsia" w:cstheme="majorBidi"/>
          <w:b/>
          <w:bCs/>
          <w:color w:val="000000" w:themeColor="text1"/>
          <w:szCs w:val="24"/>
        </w:rPr>
      </w:pPr>
      <w:r w:rsidRPr="00F23FA8">
        <w:rPr>
          <w:rFonts w:eastAsiaTheme="majorEastAsia" w:cstheme="majorBidi"/>
          <w:b/>
          <w:bCs/>
          <w:color w:val="000000" w:themeColor="text1"/>
          <w:szCs w:val="24"/>
        </w:rPr>
        <w:t xml:space="preserve">Figure </w:t>
      </w:r>
      <w:r>
        <w:rPr>
          <w:rFonts w:eastAsiaTheme="majorEastAsia" w:cstheme="majorBidi"/>
          <w:b/>
          <w:bCs/>
          <w:color w:val="000000" w:themeColor="text1"/>
          <w:szCs w:val="24"/>
        </w:rPr>
        <w:t>20</w:t>
      </w:r>
      <w:r w:rsidRPr="00F23FA8">
        <w:rPr>
          <w:rFonts w:eastAsiaTheme="majorEastAsia" w:cstheme="majorBidi"/>
          <w:b/>
          <w:bCs/>
          <w:color w:val="000000" w:themeColor="text1"/>
          <w:szCs w:val="24"/>
        </w:rPr>
        <w:t xml:space="preserve">: Complaints about disability services </w:t>
      </w:r>
    </w:p>
    <w:p w14:paraId="20A1BE75" w14:textId="77777777" w:rsidR="009D5468" w:rsidRDefault="009D5468" w:rsidP="009D5468">
      <w:pPr>
        <w:pStyle w:val="Normal-L3"/>
        <w:spacing w:line="276" w:lineRule="auto"/>
        <w:rPr>
          <w:rFonts w:eastAsiaTheme="majorEastAsia" w:cstheme="majorBidi"/>
          <w:b/>
          <w:bCs/>
          <w:color w:val="000000" w:themeColor="text1"/>
          <w:szCs w:val="24"/>
        </w:rPr>
      </w:pPr>
      <w:r>
        <w:rPr>
          <w:rFonts w:eastAsiaTheme="majorEastAsia" w:cstheme="majorBidi"/>
          <w:b/>
          <w:bCs/>
          <w:noProof/>
          <w:color w:val="000000" w:themeColor="text1"/>
          <w:szCs w:val="24"/>
          <w:lang w:eastAsia="en-AU"/>
        </w:rPr>
        <w:drawing>
          <wp:inline distT="0" distB="0" distL="0" distR="0" wp14:anchorId="0A118C9C" wp14:editId="5E4C001B">
            <wp:extent cx="5112000" cy="2700000"/>
            <wp:effectExtent l="0" t="0" r="12700" b="2476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8145562" w14:textId="77777777" w:rsidR="009D5468" w:rsidRDefault="009D5468" w:rsidP="009D5468">
      <w:pPr>
        <w:pStyle w:val="Normal-L3"/>
        <w:spacing w:line="276" w:lineRule="auto"/>
        <w:rPr>
          <w:rFonts w:eastAsiaTheme="majorEastAsia" w:cstheme="majorBidi"/>
          <w:b/>
          <w:bCs/>
          <w:color w:val="000000" w:themeColor="text1"/>
          <w:szCs w:val="24"/>
        </w:rPr>
      </w:pPr>
    </w:p>
    <w:p w14:paraId="3F1C8A5C" w14:textId="77777777" w:rsidR="009D5468" w:rsidRDefault="009D5468" w:rsidP="009D5468">
      <w:pPr>
        <w:spacing w:after="200"/>
      </w:pPr>
      <w:r>
        <w:t xml:space="preserve">The following section provides a more detailed breakdown of the complaints about disability services closed by HaDSCO over the past three financial years. </w:t>
      </w:r>
    </w:p>
    <w:p w14:paraId="44F4CBB4" w14:textId="77777777" w:rsidR="009D5468" w:rsidRDefault="009D5468" w:rsidP="009D5468">
      <w:pPr>
        <w:spacing w:after="200" w:line="276" w:lineRule="auto"/>
        <w:rPr>
          <w:b/>
        </w:rPr>
      </w:pPr>
      <w:r>
        <w:rPr>
          <w:b/>
        </w:rPr>
        <w:br w:type="page"/>
      </w:r>
    </w:p>
    <w:p w14:paraId="7E37A1E3" w14:textId="77777777" w:rsidR="009D5468" w:rsidRPr="00EF6AF1" w:rsidRDefault="009D5468" w:rsidP="009D5468">
      <w:pPr>
        <w:spacing w:after="200"/>
      </w:pPr>
      <w:r w:rsidRPr="00EF6AF1">
        <w:rPr>
          <w:b/>
        </w:rPr>
        <w:lastRenderedPageBreak/>
        <w:t xml:space="preserve">Individual making the complaint </w:t>
      </w:r>
    </w:p>
    <w:p w14:paraId="374A7814" w14:textId="77777777" w:rsidR="009D5468" w:rsidRPr="00EF6AF1" w:rsidRDefault="009D5468" w:rsidP="009D5468">
      <w:pPr>
        <w:pStyle w:val="Normal-L3"/>
        <w:rPr>
          <w:rFonts w:eastAsiaTheme="majorEastAsia" w:cstheme="majorBidi"/>
          <w:bCs/>
          <w:color w:val="000000" w:themeColor="text1"/>
          <w:szCs w:val="24"/>
        </w:rPr>
      </w:pPr>
      <w:r w:rsidRPr="00EF6AF1">
        <w:rPr>
          <w:rFonts w:eastAsiaTheme="majorEastAsia" w:cstheme="majorBidi"/>
          <w:bCs/>
          <w:color w:val="000000" w:themeColor="text1"/>
          <w:szCs w:val="24"/>
        </w:rPr>
        <w:t xml:space="preserve">An individual who makes a complaint about a disability service to HaDSCO is not necessarily the individual who received the service. The majority of complaints </w:t>
      </w:r>
    </w:p>
    <w:p w14:paraId="3EED5F6C" w14:textId="5DE844F8" w:rsidR="009D5468" w:rsidRPr="00EF6AF1" w:rsidRDefault="009D5468" w:rsidP="009D5468">
      <w:pPr>
        <w:pStyle w:val="Normal-L3"/>
        <w:rPr>
          <w:rFonts w:eastAsiaTheme="majorEastAsia" w:cstheme="majorBidi"/>
          <w:bCs/>
          <w:color w:val="000000" w:themeColor="text1"/>
          <w:szCs w:val="24"/>
        </w:rPr>
      </w:pPr>
      <w:r w:rsidRPr="00EF6AF1">
        <w:rPr>
          <w:rFonts w:eastAsiaTheme="majorEastAsia" w:cstheme="majorBidi"/>
          <w:bCs/>
          <w:color w:val="000000" w:themeColor="text1"/>
          <w:szCs w:val="24"/>
        </w:rPr>
        <w:t>(74% in 2017-18) were made by someone acting on behalf of the individual who received the service; typically this is a fami</w:t>
      </w:r>
      <w:r w:rsidR="002B0289">
        <w:rPr>
          <w:rFonts w:eastAsiaTheme="majorEastAsia" w:cstheme="majorBidi"/>
          <w:bCs/>
          <w:color w:val="000000" w:themeColor="text1"/>
          <w:szCs w:val="24"/>
        </w:rPr>
        <w:t>ly member (as shown in Figure 21</w:t>
      </w:r>
      <w:r w:rsidRPr="00EF6AF1">
        <w:rPr>
          <w:rFonts w:eastAsiaTheme="majorEastAsia" w:cstheme="majorBidi"/>
          <w:bCs/>
          <w:color w:val="000000" w:themeColor="text1"/>
          <w:szCs w:val="24"/>
        </w:rPr>
        <w:t>).</w:t>
      </w:r>
    </w:p>
    <w:p w14:paraId="33728901" w14:textId="77777777" w:rsidR="009D5468" w:rsidRPr="00EF6AF1" w:rsidRDefault="009D5468" w:rsidP="009D5468">
      <w:pPr>
        <w:pStyle w:val="Normal-L3"/>
        <w:rPr>
          <w:rFonts w:eastAsiaTheme="majorEastAsia" w:cstheme="majorBidi"/>
          <w:bCs/>
          <w:color w:val="000000" w:themeColor="text1"/>
          <w:szCs w:val="24"/>
          <w:highlight w:val="yellow"/>
        </w:rPr>
      </w:pPr>
    </w:p>
    <w:p w14:paraId="4BFEABE0" w14:textId="77777777" w:rsidR="009D5468" w:rsidRPr="000E5E47" w:rsidRDefault="009D5468" w:rsidP="009D5468">
      <w:r w:rsidRPr="000E5E47">
        <w:t xml:space="preserve">Over the past three years there have been </w:t>
      </w:r>
      <w:r>
        <w:t>variations</w:t>
      </w:r>
      <w:r w:rsidRPr="000E5E47">
        <w:t xml:space="preserve"> in </w:t>
      </w:r>
      <w:r>
        <w:t>terms of the specific person who made a complaint, although</w:t>
      </w:r>
      <w:r w:rsidRPr="000E5E47">
        <w:t xml:space="preserve"> </w:t>
      </w:r>
      <w:r>
        <w:t xml:space="preserve">approximately </w:t>
      </w:r>
      <w:r w:rsidRPr="000E5E47">
        <w:t>20</w:t>
      </w:r>
      <w:r>
        <w:t xml:space="preserve">% to </w:t>
      </w:r>
      <w:r w:rsidRPr="000E5E47">
        <w:t xml:space="preserve">30% of complaints </w:t>
      </w:r>
      <w:r>
        <w:t xml:space="preserve">were </w:t>
      </w:r>
      <w:r w:rsidRPr="000E5E47">
        <w:t>made by an indivi</w:t>
      </w:r>
      <w:r>
        <w:t xml:space="preserve">dual receiving a service and approximately 70% to </w:t>
      </w:r>
      <w:r w:rsidRPr="000E5E47">
        <w:t>80% of complaint</w:t>
      </w:r>
      <w:r>
        <w:t>s</w:t>
      </w:r>
      <w:r w:rsidRPr="000E5E47">
        <w:t xml:space="preserve"> </w:t>
      </w:r>
      <w:r>
        <w:t xml:space="preserve">were </w:t>
      </w:r>
      <w:r w:rsidRPr="000E5E47">
        <w:t>made on behalf of someone receiving a service.</w:t>
      </w:r>
      <w:r w:rsidRPr="000E5E47">
        <w:br/>
      </w:r>
    </w:p>
    <w:p w14:paraId="04149947" w14:textId="1AD81FF3" w:rsidR="009D5468" w:rsidRPr="00EF6AF1" w:rsidRDefault="002B0289" w:rsidP="009D5468">
      <w:pPr>
        <w:pStyle w:val="Normal-L3"/>
        <w:spacing w:line="276" w:lineRule="auto"/>
        <w:rPr>
          <w:rFonts w:eastAsiaTheme="majorEastAsia" w:cstheme="majorBidi"/>
          <w:b/>
          <w:bCs/>
          <w:color w:val="000000" w:themeColor="text1"/>
          <w:szCs w:val="24"/>
        </w:rPr>
      </w:pPr>
      <w:r>
        <w:rPr>
          <w:rFonts w:eastAsiaTheme="majorEastAsia" w:cstheme="majorBidi"/>
          <w:b/>
          <w:bCs/>
          <w:color w:val="000000" w:themeColor="text1"/>
          <w:szCs w:val="24"/>
        </w:rPr>
        <w:t>Figure 21</w:t>
      </w:r>
      <w:r w:rsidR="009D5468" w:rsidRPr="00EF6AF1">
        <w:rPr>
          <w:rFonts w:eastAsiaTheme="majorEastAsia" w:cstheme="majorBidi"/>
          <w:b/>
          <w:bCs/>
          <w:color w:val="000000" w:themeColor="text1"/>
          <w:szCs w:val="24"/>
        </w:rPr>
        <w:t xml:space="preserve">: Individual </w:t>
      </w:r>
      <w:r w:rsidR="009D5468" w:rsidRPr="00EF6AF1">
        <w:rPr>
          <w:b/>
        </w:rPr>
        <w:t>making the complaint</w:t>
      </w:r>
    </w:p>
    <w:p w14:paraId="2548F7A9" w14:textId="77777777" w:rsidR="009D5468" w:rsidRPr="00EF6AF1" w:rsidRDefault="009D5468" w:rsidP="009D5468">
      <w:pPr>
        <w:sectPr w:rsidR="009D5468" w:rsidRPr="00EF6AF1" w:rsidSect="00CD3241">
          <w:headerReference w:type="even" r:id="rId40"/>
          <w:headerReference w:type="default" r:id="rId41"/>
          <w:footerReference w:type="default" r:id="rId42"/>
          <w:headerReference w:type="first" r:id="rId43"/>
          <w:footerReference w:type="first" r:id="rId44"/>
          <w:type w:val="continuous"/>
          <w:pgSz w:w="11907" w:h="16840" w:code="9"/>
          <w:pgMar w:top="1134" w:right="1440" w:bottom="1440" w:left="1440" w:header="720" w:footer="709" w:gutter="0"/>
          <w:cols w:space="720"/>
          <w:titlePg/>
          <w:docGrid w:linePitch="326"/>
        </w:sectPr>
      </w:pPr>
      <w:r w:rsidRPr="00EF6AF1">
        <w:rPr>
          <w:noProof/>
          <w:lang w:eastAsia="en-AU"/>
        </w:rPr>
        <w:drawing>
          <wp:inline distT="0" distB="0" distL="0" distR="0" wp14:anchorId="24ACF7EF" wp14:editId="58B151BD">
            <wp:extent cx="5839097" cy="2129246"/>
            <wp:effectExtent l="0" t="0" r="9525" b="23495"/>
            <wp:docPr id="305" name="Chart 30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7B51D114" w14:textId="77777777" w:rsidR="009D5468" w:rsidRPr="00EF6AF1" w:rsidRDefault="009D5468" w:rsidP="009D5468">
      <w:pPr>
        <w:rPr>
          <w:i/>
          <w:sz w:val="16"/>
          <w:szCs w:val="16"/>
          <w:highlight w:val="yellow"/>
        </w:rPr>
      </w:pPr>
    </w:p>
    <w:p w14:paraId="0CCEDF6F" w14:textId="77777777" w:rsidR="009D5468" w:rsidRPr="00EF6AF1" w:rsidRDefault="009D5468" w:rsidP="009D5468">
      <w:pPr>
        <w:rPr>
          <w:i/>
          <w:sz w:val="16"/>
          <w:szCs w:val="16"/>
        </w:rPr>
      </w:pPr>
      <w:r w:rsidRPr="00EF6AF1">
        <w:rPr>
          <w:i/>
          <w:sz w:val="16"/>
          <w:szCs w:val="16"/>
        </w:rPr>
        <w:t>Totals may not sum to 100% due to rounding.</w:t>
      </w:r>
    </w:p>
    <w:p w14:paraId="775E5FD7" w14:textId="77777777" w:rsidR="009D5468" w:rsidRPr="00EF6AF1" w:rsidRDefault="009D5468" w:rsidP="009D5468">
      <w:pPr>
        <w:rPr>
          <w:b/>
          <w:highlight w:val="yellow"/>
        </w:rPr>
      </w:pPr>
    </w:p>
    <w:p w14:paraId="7A8FB5FC" w14:textId="1868CBDF" w:rsidR="009D5468" w:rsidRPr="00BA09F0" w:rsidRDefault="009D5468" w:rsidP="009D5468">
      <w:r>
        <w:t>C</w:t>
      </w:r>
      <w:r w:rsidRPr="00BA09F0">
        <w:t xml:space="preserve">omplaints about disability services were more likely to concern services provided to </w:t>
      </w:r>
      <w:r>
        <w:t>individuals</w:t>
      </w:r>
      <w:r w:rsidRPr="00BA09F0">
        <w:t xml:space="preserve"> u</w:t>
      </w:r>
      <w:r>
        <w:t xml:space="preserve">nder </w:t>
      </w:r>
      <w:r w:rsidRPr="00BA09F0">
        <w:t>25</w:t>
      </w:r>
      <w:r>
        <w:t xml:space="preserve"> years of age. No complaints concerned services provided to individuals aged over 64 years of age</w:t>
      </w:r>
      <w:r w:rsidRPr="00BA09F0">
        <w:t xml:space="preserve">. </w:t>
      </w:r>
      <w:r>
        <w:t xml:space="preserve">Complaints were slightly more likely to be about services provided to males. </w:t>
      </w:r>
      <w:r w:rsidRPr="00BA09F0">
        <w:t>Details</w:t>
      </w:r>
      <w:r w:rsidR="002B0289">
        <w:t xml:space="preserve"> are provided in Figure 22</w:t>
      </w:r>
      <w:r w:rsidRPr="00BA09F0">
        <w:t>.</w:t>
      </w:r>
    </w:p>
    <w:p w14:paraId="7645808D" w14:textId="77777777" w:rsidR="009D5468" w:rsidRPr="00BA09F0" w:rsidRDefault="009D5468" w:rsidP="009D5468"/>
    <w:p w14:paraId="636192BD" w14:textId="03319126" w:rsidR="009D5468" w:rsidRPr="00BA09F0" w:rsidRDefault="002B0289" w:rsidP="009D5468">
      <w:pPr>
        <w:pStyle w:val="Normal-L3"/>
        <w:spacing w:line="276" w:lineRule="auto"/>
        <w:jc w:val="both"/>
        <w:rPr>
          <w:rFonts w:eastAsiaTheme="majorEastAsia" w:cstheme="majorBidi"/>
          <w:b/>
          <w:bCs/>
          <w:color w:val="000000" w:themeColor="text1"/>
          <w:szCs w:val="24"/>
        </w:rPr>
      </w:pPr>
      <w:r>
        <w:rPr>
          <w:rFonts w:eastAsiaTheme="majorEastAsia" w:cstheme="majorBidi"/>
          <w:b/>
          <w:bCs/>
          <w:color w:val="000000" w:themeColor="text1"/>
          <w:szCs w:val="24"/>
        </w:rPr>
        <w:t>Figure 22</w:t>
      </w:r>
      <w:r w:rsidR="009D5468" w:rsidRPr="00BA09F0">
        <w:rPr>
          <w:rFonts w:eastAsiaTheme="majorEastAsia" w:cstheme="majorBidi"/>
          <w:b/>
          <w:bCs/>
          <w:color w:val="000000" w:themeColor="text1"/>
          <w:szCs w:val="24"/>
        </w:rPr>
        <w:t>: Age and gender of the individuals receiving a service</w:t>
      </w:r>
      <w:r w:rsidR="009D5468" w:rsidRPr="00BA09F0">
        <w:t xml:space="preserve"> </w:t>
      </w:r>
      <w:r w:rsidR="009D5468" w:rsidRPr="00BA09F0">
        <w:rPr>
          <w:rFonts w:eastAsiaTheme="majorEastAsia" w:cstheme="majorBidi"/>
          <w:b/>
          <w:bCs/>
          <w:color w:val="000000" w:themeColor="text1"/>
          <w:szCs w:val="24"/>
        </w:rPr>
        <w:t>(2017-18)</w:t>
      </w:r>
    </w:p>
    <w:p w14:paraId="31473DB2" w14:textId="77777777" w:rsidR="009D5468" w:rsidRPr="00BA09F0" w:rsidRDefault="009D5468" w:rsidP="009D5468">
      <w:pPr>
        <w:jc w:val="both"/>
        <w:rPr>
          <w:i/>
          <w:sz w:val="16"/>
          <w:szCs w:val="16"/>
        </w:rPr>
      </w:pPr>
      <w:r w:rsidRPr="00BA09F0">
        <w:rPr>
          <w:noProof/>
          <w:lang w:eastAsia="en-AU"/>
        </w:rPr>
        <mc:AlternateContent>
          <mc:Choice Requires="wps">
            <w:drawing>
              <wp:anchor distT="0" distB="0" distL="114300" distR="114300" simplePos="0" relativeHeight="252689408" behindDoc="0" locked="0" layoutInCell="1" allowOverlap="1" wp14:anchorId="77175787" wp14:editId="5585D951">
                <wp:simplePos x="0" y="0"/>
                <wp:positionH relativeFrom="column">
                  <wp:posOffset>1504950</wp:posOffset>
                </wp:positionH>
                <wp:positionV relativeFrom="paragraph">
                  <wp:posOffset>15875</wp:posOffset>
                </wp:positionV>
                <wp:extent cx="857250" cy="314325"/>
                <wp:effectExtent l="0" t="0" r="0" b="1270"/>
                <wp:wrapNone/>
                <wp:docPr id="3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14325"/>
                        </a:xfrm>
                        <a:prstGeom prst="rect">
                          <a:avLst/>
                        </a:prstGeom>
                        <a:solidFill>
                          <a:srgbClr val="FFFFFF"/>
                        </a:solidFill>
                        <a:ln w="9525">
                          <a:noFill/>
                          <a:miter lim="800000"/>
                          <a:headEnd/>
                          <a:tailEnd/>
                        </a:ln>
                      </wps:spPr>
                      <wps:txbx>
                        <w:txbxContent>
                          <w:p w14:paraId="376FF8D3" w14:textId="77777777" w:rsidR="00A03A05" w:rsidRPr="003122C8" w:rsidRDefault="00A03A05" w:rsidP="009D5468">
                            <w:pPr>
                              <w:rPr>
                                <w:sz w:val="20"/>
                                <w:szCs w:val="20"/>
                              </w:rPr>
                            </w:pPr>
                            <w:r>
                              <w:rPr>
                                <w:sz w:val="20"/>
                                <w:szCs w:val="20"/>
                              </w:rPr>
                              <w:t>Age (n=42</w:t>
                            </w:r>
                            <w:r w:rsidRPr="003122C8">
                              <w:rPr>
                                <w:sz w:val="20"/>
                                <w:szCs w:val="20"/>
                              </w:rPr>
                              <w:t>)</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8" type="#_x0000_t202" style="position:absolute;left:0;text-align:left;margin-left:118.5pt;margin-top:1.25pt;width:67.5pt;height:24.75pt;z-index:25268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" stroked="f">
                <v:textbox style="mso-fit-shape-to-text:t">
                  <w:txbxContent>
                    <w:p w14:paraId="376FF8D3" w14:textId="77777777" w:rsidR="00A03A05" w:rsidRPr="003122C8" w:rsidRDefault="00A03A05" w:rsidP="009D5468">
                      <w:pPr>
                        <w:rPr>
                          <w:sz w:val="20"/>
                          <w:szCs w:val="20"/>
                        </w:rPr>
                      </w:pPr>
                      <w:r>
                        <w:rPr>
                          <w:sz w:val="20"/>
                          <w:szCs w:val="20"/>
                        </w:rPr>
                        <w:t>Age (n=42</w:t>
                      </w:r>
                      <w:r w:rsidRPr="003122C8">
                        <w:rPr>
                          <w:sz w:val="20"/>
                          <w:szCs w:val="20"/>
                        </w:rPr>
                        <w:t>)</w:t>
                      </w:r>
                    </w:p>
                  </w:txbxContent>
                </v:textbox>
              </v:shape>
            </w:pict>
          </mc:Fallback>
        </mc:AlternateContent>
      </w:r>
      <w:r w:rsidRPr="00BA09F0">
        <w:rPr>
          <w:noProof/>
          <w:lang w:eastAsia="en-AU"/>
        </w:rPr>
        <mc:AlternateContent>
          <mc:Choice Requires="wps">
            <w:drawing>
              <wp:anchor distT="0" distB="0" distL="114300" distR="114300" simplePos="0" relativeHeight="252690432" behindDoc="0" locked="0" layoutInCell="1" allowOverlap="1" wp14:anchorId="0AEEDB42" wp14:editId="085E3CDC">
                <wp:simplePos x="0" y="0"/>
                <wp:positionH relativeFrom="column">
                  <wp:posOffset>4391025</wp:posOffset>
                </wp:positionH>
                <wp:positionV relativeFrom="paragraph">
                  <wp:posOffset>18415</wp:posOffset>
                </wp:positionV>
                <wp:extent cx="1066800" cy="314325"/>
                <wp:effectExtent l="0" t="0" r="0" b="1270"/>
                <wp:wrapNone/>
                <wp:docPr id="3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314325"/>
                        </a:xfrm>
                        <a:prstGeom prst="rect">
                          <a:avLst/>
                        </a:prstGeom>
                        <a:solidFill>
                          <a:srgbClr val="FFFFFF"/>
                        </a:solidFill>
                        <a:ln w="9525">
                          <a:noFill/>
                          <a:miter lim="800000"/>
                          <a:headEnd/>
                          <a:tailEnd/>
                        </a:ln>
                      </wps:spPr>
                      <wps:txbx>
                        <w:txbxContent>
                          <w:p w14:paraId="5DA998A8" w14:textId="77777777" w:rsidR="00A03A05" w:rsidRPr="003122C8" w:rsidRDefault="00A03A05" w:rsidP="009D5468">
                            <w:pPr>
                              <w:rPr>
                                <w:sz w:val="20"/>
                                <w:szCs w:val="20"/>
                              </w:rPr>
                            </w:pPr>
                            <w:r>
                              <w:rPr>
                                <w:sz w:val="20"/>
                                <w:szCs w:val="20"/>
                              </w:rPr>
                              <w:t>Gender</w:t>
                            </w:r>
                            <w:r w:rsidRPr="003122C8">
                              <w:rPr>
                                <w:sz w:val="20"/>
                                <w:szCs w:val="20"/>
                              </w:rPr>
                              <w:t xml:space="preserve"> </w:t>
                            </w:r>
                            <w:r>
                              <w:rPr>
                                <w:sz w:val="20"/>
                                <w:szCs w:val="20"/>
                              </w:rPr>
                              <w:t>(</w:t>
                            </w:r>
                            <w:r w:rsidRPr="003122C8">
                              <w:rPr>
                                <w:sz w:val="20"/>
                                <w:szCs w:val="20"/>
                              </w:rPr>
                              <w:t>n=</w:t>
                            </w:r>
                            <w:r>
                              <w:rPr>
                                <w:sz w:val="20"/>
                                <w:szCs w:val="20"/>
                              </w:rPr>
                              <w:t>73</w:t>
                            </w:r>
                            <w:r w:rsidRPr="003122C8">
                              <w:rPr>
                                <w:sz w:val="20"/>
                                <w:szCs w:val="20"/>
                              </w:rPr>
                              <w:t>)</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89" type="#_x0000_t202" style="position:absolute;left:0;text-align:left;margin-left:345.75pt;margin-top:1.45pt;width:84pt;height:24.75pt;z-index:25269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" stroked="f">
                <v:textbox style="mso-fit-shape-to-text:t">
                  <w:txbxContent>
                    <w:p w14:paraId="5DA998A8" w14:textId="77777777" w:rsidR="00A03A05" w:rsidRPr="003122C8" w:rsidRDefault="00A03A05" w:rsidP="009D5468">
                      <w:pPr>
                        <w:rPr>
                          <w:sz w:val="20"/>
                          <w:szCs w:val="20"/>
                        </w:rPr>
                      </w:pPr>
                      <w:r>
                        <w:rPr>
                          <w:sz w:val="20"/>
                          <w:szCs w:val="20"/>
                        </w:rPr>
                        <w:t>Gender</w:t>
                      </w:r>
                      <w:r w:rsidRPr="003122C8">
                        <w:rPr>
                          <w:sz w:val="20"/>
                          <w:szCs w:val="20"/>
                        </w:rPr>
                        <w:t xml:space="preserve"> </w:t>
                      </w:r>
                      <w:r>
                        <w:rPr>
                          <w:sz w:val="20"/>
                          <w:szCs w:val="20"/>
                        </w:rPr>
                        <w:t>(</w:t>
                      </w:r>
                      <w:r w:rsidRPr="003122C8">
                        <w:rPr>
                          <w:sz w:val="20"/>
                          <w:szCs w:val="20"/>
                        </w:rPr>
                        <w:t>n=</w:t>
                      </w:r>
                      <w:r>
                        <w:rPr>
                          <w:sz w:val="20"/>
                          <w:szCs w:val="20"/>
                        </w:rPr>
                        <w:t>73</w:t>
                      </w:r>
                      <w:r w:rsidRPr="003122C8">
                        <w:rPr>
                          <w:sz w:val="20"/>
                          <w:szCs w:val="20"/>
                        </w:rPr>
                        <w:t>)</w:t>
                      </w:r>
                    </w:p>
                  </w:txbxContent>
                </v:textbox>
              </v:shape>
            </w:pict>
          </mc:Fallback>
        </mc:AlternateContent>
      </w:r>
      <w:r w:rsidRPr="00BA09F0">
        <w:rPr>
          <w:noProof/>
          <w:shd w:val="clear" w:color="auto" w:fill="BFBFBF" w:themeFill="background1" w:themeFillShade="BF"/>
          <w:lang w:eastAsia="en-AU"/>
        </w:rPr>
        <w:drawing>
          <wp:inline distT="0" distB="0" distL="0" distR="0" wp14:anchorId="22517B25" wp14:editId="047073C2">
            <wp:extent cx="5732145" cy="2105497"/>
            <wp:effectExtent l="0" t="0" r="20955" b="9525"/>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51691C2" w14:textId="77777777" w:rsidR="009D5468" w:rsidRPr="00BA09F0" w:rsidRDefault="009D5468" w:rsidP="009D5468">
      <w:pPr>
        <w:jc w:val="both"/>
        <w:rPr>
          <w:i/>
          <w:sz w:val="16"/>
          <w:szCs w:val="16"/>
        </w:rPr>
      </w:pPr>
    </w:p>
    <w:p w14:paraId="1DE28CE1" w14:textId="4C56BDC0" w:rsidR="009D5468" w:rsidRPr="00BA09F0" w:rsidRDefault="002B0289" w:rsidP="009D5468">
      <w:pPr>
        <w:jc w:val="both"/>
        <w:rPr>
          <w:i/>
          <w:sz w:val="16"/>
          <w:szCs w:val="16"/>
        </w:rPr>
      </w:pPr>
      <w:r>
        <w:rPr>
          <w:i/>
          <w:sz w:val="16"/>
          <w:szCs w:val="16"/>
        </w:rPr>
        <w:t>The data in Figure 22</w:t>
      </w:r>
      <w:r w:rsidR="009D5468">
        <w:rPr>
          <w:i/>
          <w:sz w:val="16"/>
          <w:szCs w:val="16"/>
        </w:rPr>
        <w:t xml:space="preserve"> </w:t>
      </w:r>
      <w:r w:rsidR="009D5468" w:rsidRPr="00BA09F0">
        <w:rPr>
          <w:i/>
          <w:sz w:val="16"/>
          <w:szCs w:val="16"/>
        </w:rPr>
        <w:t>is provided only for complaints where demographic information about the individual receiving a service was recorded. Totals may not sum to 100% due to rounding.</w:t>
      </w:r>
    </w:p>
    <w:p w14:paraId="17435F92" w14:textId="77777777" w:rsidR="009D5468" w:rsidRPr="00EF6AF1" w:rsidRDefault="009D5468" w:rsidP="009D5468">
      <w:pPr>
        <w:jc w:val="both"/>
        <w:rPr>
          <w:i/>
          <w:sz w:val="16"/>
          <w:szCs w:val="16"/>
          <w:highlight w:val="yellow"/>
        </w:rPr>
      </w:pPr>
    </w:p>
    <w:p w14:paraId="0EB610A0" w14:textId="77777777" w:rsidR="009D5468" w:rsidRPr="00EF6AF1" w:rsidRDefault="009D5468" w:rsidP="009D5468">
      <w:pPr>
        <w:spacing w:after="200" w:line="276" w:lineRule="auto"/>
        <w:rPr>
          <w:b/>
          <w:highlight w:val="yellow"/>
        </w:rPr>
      </w:pPr>
      <w:r w:rsidRPr="00EF6AF1">
        <w:rPr>
          <w:b/>
          <w:highlight w:val="yellow"/>
        </w:rPr>
        <w:br w:type="page"/>
      </w:r>
    </w:p>
    <w:p w14:paraId="79A88085" w14:textId="77777777" w:rsidR="009D5468" w:rsidRPr="003668BB" w:rsidRDefault="009D5468" w:rsidP="009D5468">
      <w:pPr>
        <w:rPr>
          <w:b/>
        </w:rPr>
      </w:pPr>
      <w:r w:rsidRPr="003668BB">
        <w:rPr>
          <w:b/>
        </w:rPr>
        <w:lastRenderedPageBreak/>
        <w:t xml:space="preserve">Issues identified  </w:t>
      </w:r>
    </w:p>
    <w:p w14:paraId="50576993" w14:textId="77777777" w:rsidR="009D5468" w:rsidRPr="003668BB" w:rsidRDefault="009D5468" w:rsidP="009D5468">
      <w:pPr>
        <w:rPr>
          <w:b/>
        </w:rPr>
      </w:pPr>
    </w:p>
    <w:p w14:paraId="4479FE99" w14:textId="77777777" w:rsidR="009D5468" w:rsidRPr="003668BB" w:rsidRDefault="009D5468" w:rsidP="009D5468">
      <w:r w:rsidRPr="003668BB">
        <w:t xml:space="preserve">The issues associated with a complaint about a disability service are determined by HaDSCO staff in discussion with the person making the complaint. Identifying the issues in the complaint provides for effective resolution and allows all parties to have an understanding of the issues raised. </w:t>
      </w:r>
    </w:p>
    <w:p w14:paraId="17291764" w14:textId="77777777" w:rsidR="009D5468" w:rsidRPr="00EF6AF1" w:rsidRDefault="009D5468" w:rsidP="009D5468">
      <w:pPr>
        <w:rPr>
          <w:highlight w:val="yellow"/>
        </w:rPr>
      </w:pPr>
    </w:p>
    <w:p w14:paraId="1E7308B5" w14:textId="4C7875E5" w:rsidR="009D5468" w:rsidRDefault="009D5468" w:rsidP="009D5468">
      <w:r w:rsidRPr="00802518">
        <w:t xml:space="preserve">More than one issue can be raised in a single complaint. Of the 73 complaints about disability services closed by HaDSCO in 2017-18, 53% concerned multiple issues, resulting in a total of 143 issues being identified. </w:t>
      </w:r>
      <w:r>
        <w:t xml:space="preserve">As shown in </w:t>
      </w:r>
      <w:r w:rsidRPr="0085760F">
        <w:t xml:space="preserve">Figure </w:t>
      </w:r>
      <w:r w:rsidR="002B0289">
        <w:t>23</w:t>
      </w:r>
      <w:r w:rsidRPr="0085760F">
        <w:t>, the</w:t>
      </w:r>
      <w:r w:rsidRPr="00B60653">
        <w:t xml:space="preserve"> number of </w:t>
      </w:r>
      <w:r>
        <w:t xml:space="preserve">complaints identifying more than one issue has increased in 2017-18, suggesting an increase in the complexity of the complaints managed by the Office over the last 12 months. </w:t>
      </w:r>
    </w:p>
    <w:p w14:paraId="3E21D621" w14:textId="77777777" w:rsidR="009D5468" w:rsidRPr="003668BB" w:rsidRDefault="009D5468" w:rsidP="009D5468"/>
    <w:p w14:paraId="332089AE" w14:textId="1AAEA3B4" w:rsidR="009D5468" w:rsidRPr="003668BB" w:rsidRDefault="002B0289" w:rsidP="009D5468">
      <w:r>
        <w:rPr>
          <w:rFonts w:eastAsiaTheme="majorEastAsia" w:cstheme="majorBidi"/>
          <w:b/>
          <w:bCs/>
          <w:color w:val="000000" w:themeColor="text1"/>
        </w:rPr>
        <w:t>Figure 23</w:t>
      </w:r>
      <w:r w:rsidR="009D5468" w:rsidRPr="003668BB">
        <w:rPr>
          <w:rFonts w:eastAsiaTheme="majorEastAsia" w:cstheme="majorBidi"/>
          <w:b/>
          <w:bCs/>
          <w:color w:val="000000" w:themeColor="text1"/>
        </w:rPr>
        <w:t>: Issues per complaint</w:t>
      </w:r>
    </w:p>
    <w:p w14:paraId="024E9BF3" w14:textId="77777777" w:rsidR="009D5468" w:rsidRPr="003668BB" w:rsidRDefault="009D5468" w:rsidP="009D5468">
      <w:pPr>
        <w:jc w:val="both"/>
      </w:pPr>
      <w:r w:rsidRPr="003668BB">
        <w:rPr>
          <w:noProof/>
          <w:lang w:eastAsia="en-AU"/>
        </w:rPr>
        <w:drawing>
          <wp:inline distT="0" distB="0" distL="0" distR="0" wp14:anchorId="09CC487F" wp14:editId="7D05EABA">
            <wp:extent cx="5917474" cy="2116183"/>
            <wp:effectExtent l="0" t="0" r="26670" b="17780"/>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CC1748C" w14:textId="77777777" w:rsidR="009D5468" w:rsidRPr="003668BB" w:rsidRDefault="009D5468" w:rsidP="009D5468">
      <w:pPr>
        <w:jc w:val="both"/>
        <w:rPr>
          <w:i/>
          <w:sz w:val="16"/>
          <w:szCs w:val="20"/>
        </w:rPr>
      </w:pPr>
    </w:p>
    <w:p w14:paraId="44A0EC56" w14:textId="77777777" w:rsidR="009D5468" w:rsidRPr="003668BB" w:rsidRDefault="009D5468" w:rsidP="009D5468">
      <w:pPr>
        <w:rPr>
          <w:b/>
        </w:rPr>
      </w:pPr>
      <w:r w:rsidRPr="003668BB">
        <w:rPr>
          <w:i/>
          <w:sz w:val="16"/>
          <w:szCs w:val="16"/>
        </w:rPr>
        <w:t xml:space="preserve">Totals may not sum to 100% due to rounding. </w:t>
      </w:r>
      <w:r w:rsidRPr="003668BB">
        <w:rPr>
          <w:i/>
          <w:sz w:val="16"/>
          <w:szCs w:val="20"/>
        </w:rPr>
        <w:t>Complaint issues were not recorded for one complaint in 2015-16.</w:t>
      </w:r>
    </w:p>
    <w:p w14:paraId="6C97890A" w14:textId="77777777" w:rsidR="009D5468" w:rsidRPr="00EF6AF1" w:rsidRDefault="009D5468" w:rsidP="009D5468">
      <w:pPr>
        <w:jc w:val="both"/>
        <w:rPr>
          <w:highlight w:val="yellow"/>
        </w:rPr>
      </w:pPr>
    </w:p>
    <w:p w14:paraId="0C7130C2" w14:textId="77777777" w:rsidR="009D5468" w:rsidRPr="00EF6AF1" w:rsidRDefault="009D5468" w:rsidP="009D5468">
      <w:pPr>
        <w:spacing w:after="200" w:line="276" w:lineRule="auto"/>
        <w:rPr>
          <w:highlight w:val="yellow"/>
        </w:rPr>
      </w:pPr>
      <w:r w:rsidRPr="00EF6AF1">
        <w:rPr>
          <w:highlight w:val="yellow"/>
        </w:rPr>
        <w:br w:type="page"/>
      </w:r>
    </w:p>
    <w:p w14:paraId="6D683A25" w14:textId="5EBE7F15" w:rsidR="009D5468" w:rsidRPr="000A6EA9" w:rsidRDefault="009D5468" w:rsidP="009D5468">
      <w:pPr>
        <w:jc w:val="both"/>
      </w:pPr>
      <w:r w:rsidRPr="000A6EA9">
        <w:lastRenderedPageBreak/>
        <w:t xml:space="preserve">The complaint issue categories identified in the disability services </w:t>
      </w:r>
      <w:r>
        <w:t xml:space="preserve">complaints </w:t>
      </w:r>
      <w:r w:rsidRPr="000A6EA9">
        <w:t>closed by HaDSCO over the last three y</w:t>
      </w:r>
      <w:r w:rsidR="002B0289">
        <w:t>ears are shown in Figure 24</w:t>
      </w:r>
      <w:r w:rsidRPr="000A6EA9">
        <w:t xml:space="preserve">.  Within each complaint category, a variety of </w:t>
      </w:r>
      <w:r>
        <w:t>specific</w:t>
      </w:r>
      <w:r w:rsidRPr="000A6EA9">
        <w:t xml:space="preserve"> issues may be identified by the individual making the complaint.</w:t>
      </w:r>
    </w:p>
    <w:p w14:paraId="528B9C12" w14:textId="77777777" w:rsidR="009D5468" w:rsidRPr="00EF6AF1" w:rsidRDefault="009D5468" w:rsidP="009D5468">
      <w:pPr>
        <w:jc w:val="both"/>
        <w:rPr>
          <w:highlight w:val="yellow"/>
        </w:rPr>
      </w:pPr>
    </w:p>
    <w:p w14:paraId="50EF3754" w14:textId="036A8E99" w:rsidR="009D5468" w:rsidRPr="007801C4" w:rsidRDefault="002B0289" w:rsidP="009D5468">
      <w:pPr>
        <w:pStyle w:val="Normal-L3"/>
        <w:spacing w:line="276" w:lineRule="auto"/>
        <w:jc w:val="both"/>
        <w:rPr>
          <w:rFonts w:eastAsiaTheme="majorEastAsia" w:cstheme="majorBidi"/>
          <w:b/>
          <w:bCs/>
          <w:color w:val="000000" w:themeColor="text1"/>
          <w:szCs w:val="24"/>
        </w:rPr>
      </w:pPr>
      <w:r>
        <w:rPr>
          <w:rFonts w:eastAsiaTheme="majorEastAsia" w:cstheme="majorBidi"/>
          <w:b/>
          <w:bCs/>
          <w:color w:val="000000" w:themeColor="text1"/>
          <w:szCs w:val="24"/>
        </w:rPr>
        <w:t>Figure 24</w:t>
      </w:r>
      <w:r w:rsidR="009D5468" w:rsidRPr="007801C4">
        <w:rPr>
          <w:rFonts w:eastAsiaTheme="majorEastAsia" w:cstheme="majorBidi"/>
          <w:b/>
          <w:bCs/>
          <w:color w:val="000000" w:themeColor="text1"/>
          <w:szCs w:val="24"/>
        </w:rPr>
        <w:t>: Complaint issues identified</w:t>
      </w:r>
      <w:r w:rsidR="009D5468" w:rsidRPr="007801C4">
        <w:rPr>
          <w:rStyle w:val="FootnoteReference"/>
          <w:rFonts w:eastAsiaTheme="majorEastAsia" w:cstheme="majorBidi"/>
          <w:b/>
          <w:bCs/>
          <w:color w:val="000000" w:themeColor="text1"/>
          <w:szCs w:val="24"/>
        </w:rPr>
        <w:footnoteReference w:id="3"/>
      </w:r>
    </w:p>
    <w:p w14:paraId="042A74BA" w14:textId="77777777" w:rsidR="009D5468" w:rsidRPr="007801C4" w:rsidRDefault="009D5468" w:rsidP="009D5468">
      <w:pPr>
        <w:jc w:val="both"/>
      </w:pPr>
      <w:r w:rsidRPr="007801C4">
        <w:rPr>
          <w:noProof/>
          <w:lang w:eastAsia="en-AU"/>
        </w:rPr>
        <w:drawing>
          <wp:inline distT="0" distB="0" distL="0" distR="0" wp14:anchorId="670AE36B" wp14:editId="27C377D5">
            <wp:extent cx="5400000" cy="5400000"/>
            <wp:effectExtent l="0" t="0" r="10795" b="10795"/>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BCCA390" w14:textId="77777777" w:rsidR="009D5468" w:rsidRPr="007801C4" w:rsidRDefault="009D5468" w:rsidP="009D5468">
      <w:pPr>
        <w:rPr>
          <w:i/>
          <w:sz w:val="16"/>
          <w:szCs w:val="16"/>
        </w:rPr>
      </w:pPr>
    </w:p>
    <w:p w14:paraId="24ABBAA8" w14:textId="63B65D05" w:rsidR="009D5468" w:rsidRPr="007801C4" w:rsidRDefault="009D5468" w:rsidP="009D5468">
      <w:pPr>
        <w:rPr>
          <w:i/>
          <w:sz w:val="16"/>
          <w:szCs w:val="16"/>
        </w:rPr>
      </w:pPr>
      <w:r w:rsidRPr="007801C4">
        <w:rPr>
          <w:i/>
          <w:sz w:val="16"/>
          <w:szCs w:val="16"/>
        </w:rPr>
        <w:t xml:space="preserve">Percentage of all disability complaints closed in </w:t>
      </w:r>
      <w:r>
        <w:rPr>
          <w:i/>
          <w:sz w:val="16"/>
          <w:szCs w:val="16"/>
        </w:rPr>
        <w:t>each</w:t>
      </w:r>
      <w:r w:rsidRPr="007801C4">
        <w:rPr>
          <w:i/>
          <w:sz w:val="16"/>
          <w:szCs w:val="16"/>
        </w:rPr>
        <w:t xml:space="preserve"> financial year. Because multiple issues can be identified per complaint, percentages may not sum to 100%.</w:t>
      </w:r>
      <w:r w:rsidRPr="007801C4">
        <w:rPr>
          <w:i/>
          <w:sz w:val="16"/>
          <w:szCs w:val="20"/>
        </w:rPr>
        <w:t xml:space="preserve"> Complaint issues were not recorded for one complaint in 2015-16.</w:t>
      </w:r>
      <w:r>
        <w:rPr>
          <w:i/>
          <w:sz w:val="16"/>
          <w:szCs w:val="20"/>
        </w:rPr>
        <w:t>The complaint issue category ‘Contribution to commu</w:t>
      </w:r>
      <w:r w:rsidR="002B0289">
        <w:rPr>
          <w:i/>
          <w:sz w:val="16"/>
          <w:szCs w:val="20"/>
        </w:rPr>
        <w:t>nity’ is excluded from Figure 24</w:t>
      </w:r>
      <w:r>
        <w:rPr>
          <w:i/>
          <w:sz w:val="16"/>
          <w:szCs w:val="20"/>
        </w:rPr>
        <w:t xml:space="preserve"> as no complaints identified an issue is this category over the three year period.</w:t>
      </w:r>
    </w:p>
    <w:p w14:paraId="6B2495B9" w14:textId="77777777" w:rsidR="009D5468" w:rsidRPr="00EF6AF1" w:rsidRDefault="009D5468" w:rsidP="009D5468">
      <w:pPr>
        <w:jc w:val="both"/>
        <w:rPr>
          <w:highlight w:val="yellow"/>
        </w:rPr>
      </w:pPr>
    </w:p>
    <w:p w14:paraId="7590BA1D" w14:textId="77777777" w:rsidR="009D5468" w:rsidRDefault="009D5468" w:rsidP="009D5468">
      <w:r>
        <w:t xml:space="preserve">In 2017-18, the majority of complaints </w:t>
      </w:r>
      <w:r w:rsidRPr="00676202">
        <w:t xml:space="preserve">about disability services </w:t>
      </w:r>
      <w:r>
        <w:t xml:space="preserve">concerned service delivery; </w:t>
      </w:r>
      <w:r w:rsidRPr="00676202">
        <w:t>service management</w:t>
      </w:r>
      <w:r>
        <w:t>;</w:t>
      </w:r>
      <w:r w:rsidRPr="00676202">
        <w:t xml:space="preserve"> and service costs and financial assistance. </w:t>
      </w:r>
      <w:r>
        <w:t xml:space="preserve">In comparison to </w:t>
      </w:r>
      <w:r w:rsidRPr="00676202">
        <w:t xml:space="preserve">previous years there have been a few notable changes in the issues identified: </w:t>
      </w:r>
    </w:p>
    <w:p w14:paraId="4C40D78E" w14:textId="77777777" w:rsidR="009D5468" w:rsidRPr="00676202" w:rsidRDefault="009D5468" w:rsidP="009D5468"/>
    <w:p w14:paraId="6E9A4783" w14:textId="77777777" w:rsidR="009D5468" w:rsidRPr="00676202" w:rsidRDefault="009D5468" w:rsidP="000B6A67">
      <w:pPr>
        <w:pStyle w:val="ListParagraph"/>
        <w:numPr>
          <w:ilvl w:val="0"/>
          <w:numId w:val="42"/>
        </w:numPr>
      </w:pPr>
      <w:r w:rsidRPr="00676202">
        <w:t>The proportion of comp</w:t>
      </w:r>
      <w:r>
        <w:t>laints identifying issues with s</w:t>
      </w:r>
      <w:r w:rsidRPr="00676202">
        <w:t>ervice delivery has increased from 31% in 2016-17 to 48% in 2017-18.</w:t>
      </w:r>
    </w:p>
    <w:p w14:paraId="2FB66021" w14:textId="77777777" w:rsidR="009D5468" w:rsidRPr="00676202" w:rsidRDefault="009D5468" w:rsidP="000B6A67">
      <w:pPr>
        <w:pStyle w:val="ListParagraph"/>
        <w:numPr>
          <w:ilvl w:val="0"/>
          <w:numId w:val="42"/>
        </w:numPr>
      </w:pPr>
      <w:r w:rsidRPr="00676202">
        <w:lastRenderedPageBreak/>
        <w:t xml:space="preserve">The proportion of complaints identifying service </w:t>
      </w:r>
      <w:r>
        <w:t>management</w:t>
      </w:r>
      <w:r w:rsidRPr="00676202">
        <w:t xml:space="preserve"> issues has increased from 16% in 2016-17 to 42% in 2017-18.</w:t>
      </w:r>
    </w:p>
    <w:p w14:paraId="0292AF47" w14:textId="77777777" w:rsidR="009D5468" w:rsidRDefault="009D5468" w:rsidP="000B6A67">
      <w:pPr>
        <w:pStyle w:val="ListParagraph"/>
        <w:numPr>
          <w:ilvl w:val="0"/>
          <w:numId w:val="42"/>
        </w:numPr>
      </w:pPr>
      <w:r w:rsidRPr="00676202">
        <w:t xml:space="preserve">Requests for information about </w:t>
      </w:r>
      <w:r>
        <w:t>HaDSCO’s</w:t>
      </w:r>
      <w:r w:rsidRPr="00676202">
        <w:t xml:space="preserve"> services and how to make a complaint about a disability service decreased from 24% in 2016-17 to 4% in 2017-18.</w:t>
      </w:r>
    </w:p>
    <w:p w14:paraId="505AEFBD" w14:textId="0D92AB6F" w:rsidR="009D5468" w:rsidRPr="00676202" w:rsidRDefault="009D5468" w:rsidP="000B6A67">
      <w:pPr>
        <w:pStyle w:val="ListParagraph"/>
        <w:numPr>
          <w:ilvl w:val="0"/>
          <w:numId w:val="42"/>
        </w:numPr>
      </w:pPr>
      <w:r>
        <w:t>The proportion of complaints about service</w:t>
      </w:r>
      <w:r w:rsidR="00E50B3D">
        <w:t xml:space="preserve"> costs and financial assistance;</w:t>
      </w:r>
      <w:r>
        <w:t xml:space="preserve"> and service access have declined over each of the past three years.</w:t>
      </w:r>
    </w:p>
    <w:p w14:paraId="4BAC014D" w14:textId="77777777" w:rsidR="009D5468" w:rsidRPr="00EF6AF1" w:rsidRDefault="009D5468" w:rsidP="009D5468">
      <w:pPr>
        <w:jc w:val="both"/>
        <w:rPr>
          <w:highlight w:val="yellow"/>
        </w:rPr>
      </w:pPr>
    </w:p>
    <w:p w14:paraId="022E4AD5" w14:textId="77777777" w:rsidR="00525940" w:rsidRDefault="009D5468" w:rsidP="009D5468">
      <w:pPr>
        <w:sectPr w:rsidR="00525940" w:rsidSect="00CD3241">
          <w:headerReference w:type="even" r:id="rId49"/>
          <w:headerReference w:type="default" r:id="rId50"/>
          <w:footerReference w:type="default" r:id="rId51"/>
          <w:headerReference w:type="first" r:id="rId52"/>
          <w:footerReference w:type="first" r:id="rId53"/>
          <w:type w:val="continuous"/>
          <w:pgSz w:w="11907" w:h="16840" w:code="9"/>
          <w:pgMar w:top="1134" w:right="1440" w:bottom="1440" w:left="1440" w:header="720" w:footer="709" w:gutter="0"/>
          <w:cols w:space="720"/>
          <w:titlePg/>
          <w:docGrid w:linePitch="326"/>
        </w:sectPr>
      </w:pPr>
      <w:r w:rsidRPr="000E0327">
        <w:t xml:space="preserve">For a detailed breakdown of the </w:t>
      </w:r>
      <w:r>
        <w:t>specific</w:t>
      </w:r>
      <w:r w:rsidRPr="000E0327">
        <w:t xml:space="preserve"> complaint issues identified within each complaint category</w:t>
      </w:r>
      <w:r w:rsidR="002B0289">
        <w:t xml:space="preserve"> in Figure 24</w:t>
      </w:r>
      <w:r w:rsidRPr="000E0327">
        <w:t xml:space="preserve">, please </w:t>
      </w:r>
      <w:r>
        <w:t>refer to</w:t>
      </w:r>
      <w:r w:rsidRPr="000E0327">
        <w:t xml:space="preserve"> </w:t>
      </w:r>
      <w:r w:rsidR="008E171B" w:rsidRPr="0018137A">
        <w:t xml:space="preserve">Appendix </w:t>
      </w:r>
      <w:r w:rsidR="008E171B">
        <w:t>5.4</w:t>
      </w:r>
      <w:r w:rsidRPr="000E0327">
        <w:t>.</w:t>
      </w:r>
    </w:p>
    <w:p w14:paraId="44F976F7" w14:textId="77777777" w:rsidR="00525940" w:rsidRDefault="00525940" w:rsidP="009D5468">
      <w:pPr>
        <w:rPr>
          <w:highlight w:val="yellow"/>
        </w:rPr>
      </w:pPr>
    </w:p>
    <w:p w14:paraId="6F8206F9" w14:textId="77777777" w:rsidR="00525940" w:rsidRDefault="00525940" w:rsidP="009D5468">
      <w:pPr>
        <w:rPr>
          <w:highlight w:val="yellow"/>
        </w:rPr>
      </w:pPr>
    </w:p>
    <w:p w14:paraId="77622721" w14:textId="15369ABB" w:rsidR="00525940" w:rsidRDefault="00525940" w:rsidP="009D5468">
      <w:pPr>
        <w:rPr>
          <w:highlight w:val="yellow"/>
        </w:rPr>
      </w:pPr>
    </w:p>
    <w:p w14:paraId="349ABE7A" w14:textId="77777777" w:rsidR="00525940" w:rsidRDefault="00525940" w:rsidP="009D5468">
      <w:pPr>
        <w:rPr>
          <w:highlight w:val="yellow"/>
        </w:rPr>
      </w:pPr>
    </w:p>
    <w:p w14:paraId="2F8A2FA7" w14:textId="17190193" w:rsidR="00525940" w:rsidRDefault="00CC779C" w:rsidP="009D5468">
      <w:pPr>
        <w:rPr>
          <w:highlight w:val="yellow"/>
        </w:rPr>
      </w:pPr>
      <w:r w:rsidRPr="00525940">
        <w:rPr>
          <w:noProof/>
          <w:lang w:eastAsia="en-AU"/>
        </w:rPr>
        <mc:AlternateContent>
          <mc:Choice Requires="wps">
            <w:drawing>
              <wp:anchor distT="0" distB="0" distL="114300" distR="114300" simplePos="0" relativeHeight="252751872" behindDoc="1" locked="0" layoutInCell="1" allowOverlap="1" wp14:anchorId="76A26609" wp14:editId="51642D7D">
                <wp:simplePos x="0" y="0"/>
                <wp:positionH relativeFrom="margin">
                  <wp:posOffset>-191661</wp:posOffset>
                </wp:positionH>
                <wp:positionV relativeFrom="paragraph">
                  <wp:posOffset>36195</wp:posOffset>
                </wp:positionV>
                <wp:extent cx="5968365" cy="3038475"/>
                <wp:effectExtent l="0" t="0" r="13335" b="28575"/>
                <wp:wrapNone/>
                <wp:docPr id="123" name="Rectangle 123"/>
                <wp:cNvGraphicFramePr/>
                <a:graphic xmlns:a="http://schemas.openxmlformats.org/drawingml/2006/main">
                  <a:graphicData uri="http://schemas.microsoft.com/office/word/2010/wordprocessingShape">
                    <wps:wsp>
                      <wps:cNvSpPr/>
                      <wps:spPr>
                        <a:xfrm>
                          <a:off x="0" y="0"/>
                          <a:ext cx="5968365" cy="3038475"/>
                        </a:xfrm>
                        <a:prstGeom prst="rect">
                          <a:avLst/>
                        </a:prstGeom>
                        <a:solidFill>
                          <a:schemeClr val="bg1">
                            <a:lumMod val="75000"/>
                            <a:alpha val="40000"/>
                          </a:schemeClr>
                        </a:solidFill>
                        <a:ln w="254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3" o:spid="_x0000_s1026" style="position:absolute;margin-left:-15.1pt;margin-top:2.85pt;width:469.95pt;height:239.25pt;z-index:-250564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" fillcolor="#bfbfbf [2412]" strokecolor="#002060" strokeweight="2pt">
                <v:fill opacity="26214f"/>
                <w10:wrap anchorx="margin"/>
              </v:rect>
            </w:pict>
          </mc:Fallback>
        </mc:AlternateContent>
      </w:r>
      <w:r w:rsidR="00440A16">
        <w:rPr>
          <w:b/>
          <w:noProof/>
          <w:lang w:eastAsia="en-AU"/>
        </w:rPr>
        <w:drawing>
          <wp:anchor distT="0" distB="0" distL="114300" distR="114300" simplePos="0" relativeHeight="252754944" behindDoc="0" locked="0" layoutInCell="1" allowOverlap="1" wp14:anchorId="16C3EE04" wp14:editId="355E3207">
            <wp:simplePos x="0" y="0"/>
            <wp:positionH relativeFrom="margin">
              <wp:posOffset>59690</wp:posOffset>
            </wp:positionH>
            <wp:positionV relativeFrom="paragraph">
              <wp:posOffset>160020</wp:posOffset>
            </wp:positionV>
            <wp:extent cx="638810" cy="638810"/>
            <wp:effectExtent l="0" t="0" r="8890" b="889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8810" cy="638810"/>
                    </a:xfrm>
                    <a:prstGeom prst="rect">
                      <a:avLst/>
                    </a:prstGeom>
                  </pic:spPr>
                </pic:pic>
              </a:graphicData>
            </a:graphic>
            <wp14:sizeRelH relativeFrom="page">
              <wp14:pctWidth>0</wp14:pctWidth>
            </wp14:sizeRelH>
            <wp14:sizeRelV relativeFrom="page">
              <wp14:pctHeight>0</wp14:pctHeight>
            </wp14:sizeRelV>
          </wp:anchor>
        </w:drawing>
      </w:r>
    </w:p>
    <w:p w14:paraId="6352F1A2" w14:textId="046B0D03" w:rsidR="00525940" w:rsidRDefault="00525940" w:rsidP="009D5468">
      <w:pPr>
        <w:rPr>
          <w:highlight w:val="yellow"/>
        </w:rPr>
      </w:pPr>
    </w:p>
    <w:p w14:paraId="30663420" w14:textId="77777777" w:rsidR="00525940" w:rsidRDefault="00525940" w:rsidP="00525940">
      <w:pPr>
        <w:spacing w:after="480"/>
        <w:ind w:firstLine="1276"/>
        <w:jc w:val="both"/>
        <w:rPr>
          <w:b/>
        </w:rPr>
      </w:pPr>
      <w:r>
        <w:rPr>
          <w:b/>
        </w:rPr>
        <w:t>CASE STUDY</w:t>
      </w:r>
    </w:p>
    <w:p w14:paraId="52916F43" w14:textId="77777777" w:rsidR="00525940" w:rsidRDefault="00525940" w:rsidP="00525940">
      <w:pPr>
        <w:jc w:val="both"/>
      </w:pPr>
    </w:p>
    <w:p w14:paraId="0C355291" w14:textId="37679D69" w:rsidR="00525940" w:rsidRDefault="00440A16" w:rsidP="00440A16">
      <w:r>
        <w:rPr>
          <w:noProof/>
          <w:lang w:eastAsia="en-AU"/>
        </w:rPr>
        <mc:AlternateContent>
          <mc:Choice Requires="wps">
            <w:drawing>
              <wp:anchor distT="0" distB="0" distL="114300" distR="114300" simplePos="0" relativeHeight="252756992" behindDoc="0" locked="0" layoutInCell="1" allowOverlap="1" wp14:anchorId="621C4CB7" wp14:editId="41F6E97D">
                <wp:simplePos x="0" y="0"/>
                <wp:positionH relativeFrom="column">
                  <wp:posOffset>2806611</wp:posOffset>
                </wp:positionH>
                <wp:positionV relativeFrom="paragraph">
                  <wp:posOffset>-772795</wp:posOffset>
                </wp:positionV>
                <wp:extent cx="0" cy="2648607"/>
                <wp:effectExtent l="0" t="0" r="19050" b="18415"/>
                <wp:wrapNone/>
                <wp:docPr id="127" name="Straight Connector 127"/>
                <wp:cNvGraphicFramePr/>
                <a:graphic xmlns:a="http://schemas.openxmlformats.org/drawingml/2006/main">
                  <a:graphicData uri="http://schemas.microsoft.com/office/word/2010/wordprocessingShape">
                    <wps:wsp>
                      <wps:cNvCnPr/>
                      <wps:spPr>
                        <a:xfrm>
                          <a:off x="0" y="0"/>
                          <a:ext cx="0" cy="2648607"/>
                        </a:xfrm>
                        <a:prstGeom prst="line">
                          <a:avLst/>
                        </a:prstGeom>
                        <a:ln>
                          <a:solidFill>
                            <a:srgbClr val="00206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127" o:spid="_x0000_s1026" style="position:absolute;z-index:252756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1pt,-60.85pt" to="221pt,1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" strokecolor="#002060"/>
            </w:pict>
          </mc:Fallback>
        </mc:AlternateContent>
      </w:r>
      <w:r w:rsidR="00525940">
        <w:t xml:space="preserve">An individual lodged a complaint regarding the lack of consultation about the changes in their child’s accommodation arrangements. Two new residents were introduced into the care facility which had a negative impact upon their child who had resided at the facility for a number of years. The family was aggrieved that they had not been consulted about the new living arrangements. </w:t>
      </w:r>
      <w:r w:rsidR="00525940">
        <w:br w:type="column"/>
      </w:r>
      <w:r w:rsidR="00525940">
        <w:lastRenderedPageBreak/>
        <w:br/>
      </w:r>
      <w:r w:rsidR="00525940">
        <w:br/>
      </w:r>
      <w:r w:rsidR="00525940">
        <w:br/>
      </w:r>
      <w:r w:rsidR="00525940">
        <w:br/>
      </w:r>
      <w:r w:rsidR="00525940">
        <w:br/>
      </w:r>
    </w:p>
    <w:p w14:paraId="22A51D69" w14:textId="77777777" w:rsidR="00C75E00" w:rsidRDefault="00525940" w:rsidP="00440A16">
      <w:r>
        <w:t>The complaint was managed in the conciliation process which provided an opportunity for the service provider to acknowledge the family’s experience and concerns. A written apology was provided to the family.</w:t>
      </w:r>
    </w:p>
    <w:p w14:paraId="3155B44E" w14:textId="6E696A9B" w:rsidR="00525940" w:rsidRDefault="00525940" w:rsidP="00C75E00">
      <w:pPr>
        <w:spacing w:before="120"/>
        <w:rPr>
          <w:highlight w:val="yellow"/>
        </w:rPr>
      </w:pPr>
      <w:r>
        <w:t xml:space="preserve">The service provider has also developed a new transition policy which includes ongoing consultation with families.  </w:t>
      </w:r>
    </w:p>
    <w:p w14:paraId="3FF2E542" w14:textId="77777777" w:rsidR="00525940" w:rsidRDefault="00525940" w:rsidP="009D5468">
      <w:pPr>
        <w:rPr>
          <w:highlight w:val="yellow"/>
        </w:rPr>
      </w:pPr>
    </w:p>
    <w:p w14:paraId="6451F568" w14:textId="77777777" w:rsidR="00525940" w:rsidRDefault="00525940" w:rsidP="009D5468">
      <w:pPr>
        <w:rPr>
          <w:highlight w:val="yellow"/>
        </w:rPr>
      </w:pPr>
    </w:p>
    <w:p w14:paraId="37408E38" w14:textId="77777777" w:rsidR="00525940" w:rsidRDefault="00525940" w:rsidP="009D5468">
      <w:pPr>
        <w:rPr>
          <w:highlight w:val="yellow"/>
        </w:rPr>
      </w:pPr>
    </w:p>
    <w:p w14:paraId="429CC25A" w14:textId="77777777" w:rsidR="00525940" w:rsidRDefault="00525940" w:rsidP="009D5468">
      <w:pPr>
        <w:rPr>
          <w:highlight w:val="yellow"/>
        </w:rPr>
      </w:pPr>
    </w:p>
    <w:p w14:paraId="203866CD" w14:textId="77777777" w:rsidR="00525940" w:rsidRDefault="00525940" w:rsidP="009D5468">
      <w:pPr>
        <w:rPr>
          <w:highlight w:val="yellow"/>
        </w:rPr>
        <w:sectPr w:rsidR="00525940" w:rsidSect="00CC779C">
          <w:type w:val="continuous"/>
          <w:pgSz w:w="11907" w:h="16840" w:code="9"/>
          <w:pgMar w:top="1134" w:right="1440" w:bottom="1440" w:left="1701" w:header="720" w:footer="709" w:gutter="0"/>
          <w:cols w:num="2" w:space="720"/>
          <w:titlePg/>
          <w:docGrid w:linePitch="326"/>
        </w:sectPr>
      </w:pPr>
    </w:p>
    <w:p w14:paraId="20BAB713" w14:textId="2ECC8843" w:rsidR="009D5468" w:rsidRPr="006F4493" w:rsidRDefault="009D5468" w:rsidP="009D5468">
      <w:r w:rsidRPr="006F4493">
        <w:rPr>
          <w:b/>
        </w:rPr>
        <w:lastRenderedPageBreak/>
        <w:t xml:space="preserve">Disability service types </w:t>
      </w:r>
    </w:p>
    <w:p w14:paraId="360E0E0C" w14:textId="77777777" w:rsidR="009D5468" w:rsidRPr="006F4493" w:rsidRDefault="009D5468" w:rsidP="009D5468">
      <w:pPr>
        <w:rPr>
          <w:b/>
        </w:rPr>
      </w:pPr>
    </w:p>
    <w:p w14:paraId="543DBA66" w14:textId="6AEF3ED2" w:rsidR="009D5468" w:rsidRPr="00B274A1" w:rsidRDefault="009D5468" w:rsidP="009D5468">
      <w:r w:rsidRPr="00B274A1">
        <w:t>The specific disability service types identified in disability service complaints closed in the last th</w:t>
      </w:r>
      <w:r w:rsidR="002B0289">
        <w:t>ree years are shown in Figure 25</w:t>
      </w:r>
      <w:r w:rsidRPr="00B274A1">
        <w:t>.</w:t>
      </w:r>
    </w:p>
    <w:p w14:paraId="5F24C54D" w14:textId="77777777" w:rsidR="009D5468" w:rsidRPr="00B274A1" w:rsidRDefault="009D5468" w:rsidP="009D5468"/>
    <w:p w14:paraId="20B20A8B" w14:textId="77777777" w:rsidR="009D5468" w:rsidRPr="00B274A1" w:rsidRDefault="009D5468" w:rsidP="009D5468">
      <w:r w:rsidRPr="00B274A1">
        <w:t xml:space="preserve">The service types that were most frequently the subject of complaints </w:t>
      </w:r>
      <w:r>
        <w:t xml:space="preserve">about disability services </w:t>
      </w:r>
      <w:r w:rsidRPr="00B274A1">
        <w:t xml:space="preserve">in 2017-18 related to </w:t>
      </w:r>
      <w:r>
        <w:t>i</w:t>
      </w:r>
      <w:r w:rsidRPr="00B274A1">
        <w:t xml:space="preserve">n-home support (29%), accommodation (22%), and </w:t>
      </w:r>
      <w:r>
        <w:t>grants or funding</w:t>
      </w:r>
      <w:r w:rsidRPr="00B274A1">
        <w:t xml:space="preserve"> (21%). </w:t>
      </w:r>
    </w:p>
    <w:p w14:paraId="694B3BBA" w14:textId="77777777" w:rsidR="009D5468" w:rsidRPr="00B274A1" w:rsidRDefault="009D5468" w:rsidP="009D5468"/>
    <w:p w14:paraId="063F487C" w14:textId="0A1EDF86" w:rsidR="009D5468" w:rsidRPr="003A649B" w:rsidRDefault="009D5468" w:rsidP="009D5468">
      <w:r>
        <w:t>In 2017-18, the proportion of complaints concerning grants or funding;</w:t>
      </w:r>
      <w:r w:rsidRPr="003A649B">
        <w:t xml:space="preserve"> respite</w:t>
      </w:r>
      <w:r>
        <w:t>;</w:t>
      </w:r>
      <w:r w:rsidRPr="003A649B">
        <w:t xml:space="preserve"> and accommodation have returned to levels similar to those seen in 2015-16. </w:t>
      </w:r>
      <w:r>
        <w:t>T</w:t>
      </w:r>
      <w:r w:rsidRPr="003A649B">
        <w:t xml:space="preserve">here has </w:t>
      </w:r>
      <w:r>
        <w:t xml:space="preserve">also </w:t>
      </w:r>
      <w:r w:rsidRPr="003A649B">
        <w:t xml:space="preserve">been a notable increase in </w:t>
      </w:r>
      <w:r>
        <w:t>the number of complaints about i</w:t>
      </w:r>
      <w:r w:rsidRPr="003A649B">
        <w:t>n-home support services, from 16% in 2016-17 to 29% in 2017-18.</w:t>
      </w:r>
    </w:p>
    <w:p w14:paraId="44CC5E77" w14:textId="77777777" w:rsidR="009D5468" w:rsidRPr="003A649B" w:rsidRDefault="009D5468" w:rsidP="009D5468"/>
    <w:p w14:paraId="6F50D584" w14:textId="276F984B" w:rsidR="009D5468" w:rsidRPr="007801C4" w:rsidRDefault="002B0289" w:rsidP="009D5468">
      <w:pPr>
        <w:pStyle w:val="Normal-L3"/>
        <w:spacing w:line="276" w:lineRule="auto"/>
        <w:rPr>
          <w:rFonts w:eastAsiaTheme="majorEastAsia" w:cstheme="majorBidi"/>
          <w:b/>
          <w:bCs/>
          <w:color w:val="000000" w:themeColor="text1"/>
          <w:szCs w:val="24"/>
        </w:rPr>
      </w:pPr>
      <w:r>
        <w:rPr>
          <w:rFonts w:eastAsiaTheme="majorEastAsia" w:cstheme="majorBidi"/>
          <w:b/>
          <w:bCs/>
          <w:color w:val="000000" w:themeColor="text1"/>
          <w:szCs w:val="24"/>
        </w:rPr>
        <w:t>Figure 25</w:t>
      </w:r>
      <w:r w:rsidR="009D5468" w:rsidRPr="007801C4">
        <w:rPr>
          <w:rFonts w:eastAsiaTheme="majorEastAsia" w:cstheme="majorBidi"/>
          <w:b/>
          <w:bCs/>
          <w:color w:val="000000" w:themeColor="text1"/>
          <w:szCs w:val="24"/>
        </w:rPr>
        <w:t>: Disability service types</w:t>
      </w:r>
    </w:p>
    <w:p w14:paraId="0B1C2470" w14:textId="77777777" w:rsidR="009D5468" w:rsidRPr="007801C4" w:rsidRDefault="009D5468" w:rsidP="009D5468">
      <w:r w:rsidRPr="007801C4">
        <w:rPr>
          <w:noProof/>
          <w:lang w:eastAsia="en-AU"/>
        </w:rPr>
        <w:drawing>
          <wp:inline distT="0" distB="0" distL="0" distR="0" wp14:anchorId="10D8F8CE" wp14:editId="6ECDA2D1">
            <wp:extent cx="4320000" cy="4680000"/>
            <wp:effectExtent l="0" t="0" r="23495" b="25400"/>
            <wp:docPr id="310" name="Chart 3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51AE9D5A" w14:textId="77777777" w:rsidR="009D5468" w:rsidRPr="007801C4" w:rsidRDefault="009D5468" w:rsidP="009D5468"/>
    <w:p w14:paraId="5B7364F3" w14:textId="32D7562B" w:rsidR="0041542C" w:rsidRDefault="009D5468" w:rsidP="009D5468">
      <w:r w:rsidRPr="007801C4">
        <w:rPr>
          <w:i/>
          <w:sz w:val="16"/>
          <w:szCs w:val="16"/>
        </w:rPr>
        <w:t xml:space="preserve">Totals may not sum to 100% due to rounding. </w:t>
      </w:r>
      <w:r w:rsidRPr="007801C4">
        <w:rPr>
          <w:i/>
          <w:sz w:val="16"/>
          <w:szCs w:val="20"/>
        </w:rPr>
        <w:t>Service type was not recorded for one complaint in 2016-17.</w:t>
      </w:r>
    </w:p>
    <w:p w14:paraId="1B069F02" w14:textId="1DCF5EAE" w:rsidR="000B2A8C" w:rsidRPr="007801C4" w:rsidRDefault="000B2A8C" w:rsidP="000B2A8C">
      <w:pPr>
        <w:jc w:val="both"/>
        <w:rPr>
          <w:i/>
          <w:sz w:val="16"/>
          <w:szCs w:val="16"/>
        </w:rPr>
      </w:pPr>
    </w:p>
    <w:p w14:paraId="680ED9E7" w14:textId="77777777" w:rsidR="000B2A8C" w:rsidRPr="00EF6AF1" w:rsidRDefault="000B2A8C" w:rsidP="000B2A8C">
      <w:pPr>
        <w:rPr>
          <w:highlight w:val="yellow"/>
        </w:rPr>
      </w:pPr>
    </w:p>
    <w:p w14:paraId="1CCA6C61" w14:textId="77777777" w:rsidR="000B2A8C" w:rsidRPr="00EF6AF1" w:rsidRDefault="000B2A8C" w:rsidP="000B2A8C">
      <w:pPr>
        <w:rPr>
          <w:b/>
          <w:highlight w:val="yellow"/>
        </w:rPr>
      </w:pPr>
    </w:p>
    <w:p w14:paraId="509C3B66" w14:textId="2B218E8E" w:rsidR="0041542C" w:rsidRDefault="0041542C" w:rsidP="008C69BE">
      <w:pPr>
        <w:rPr>
          <w:b/>
        </w:rPr>
      </w:pPr>
      <w:r>
        <w:rPr>
          <w:b/>
        </w:rPr>
        <w:br w:type="page"/>
      </w:r>
    </w:p>
    <w:p w14:paraId="416695B5" w14:textId="77777777" w:rsidR="00B50672" w:rsidRDefault="00B50672" w:rsidP="008C69BE">
      <w:pPr>
        <w:rPr>
          <w:b/>
        </w:rPr>
      </w:pPr>
    </w:p>
    <w:p w14:paraId="149F8C34" w14:textId="77777777" w:rsidR="00453757" w:rsidRPr="00916024" w:rsidRDefault="00453757" w:rsidP="001126F5">
      <w:pPr>
        <w:pStyle w:val="Heading3"/>
        <w:rPr>
          <w:color w:val="033349"/>
          <w:sz w:val="28"/>
        </w:rPr>
      </w:pPr>
      <w:bookmarkStart w:id="179" w:name="_Toc493506753"/>
      <w:bookmarkStart w:id="180" w:name="_Toc522094799"/>
      <w:r w:rsidRPr="00506852">
        <w:rPr>
          <w:color w:val="033349"/>
          <w:sz w:val="28"/>
        </w:rPr>
        <w:t>External complaints data</w:t>
      </w:r>
      <w:bookmarkEnd w:id="179"/>
      <w:bookmarkEnd w:id="180"/>
      <w:r w:rsidRPr="00916024">
        <w:rPr>
          <w:color w:val="033349"/>
          <w:sz w:val="28"/>
        </w:rPr>
        <w:t xml:space="preserve"> </w:t>
      </w:r>
    </w:p>
    <w:p w14:paraId="47D259B1" w14:textId="77777777" w:rsidR="00453757" w:rsidRPr="00453757" w:rsidRDefault="00453757" w:rsidP="001B10B3"/>
    <w:p w14:paraId="075F4F31" w14:textId="5FB66B7A" w:rsidR="00DD475E" w:rsidRDefault="00DD475E" w:rsidP="00DD475E">
      <w:r w:rsidRPr="00FD4BA2">
        <w:t xml:space="preserve">Under Section 48A of the </w:t>
      </w:r>
      <w:r w:rsidRPr="0041378C">
        <w:rPr>
          <w:i/>
        </w:rPr>
        <w:t>Disability Services Act 1993</w:t>
      </w:r>
      <w:r>
        <w:t xml:space="preserve"> and the </w:t>
      </w:r>
      <w:r w:rsidRPr="0041378C">
        <w:rPr>
          <w:i/>
        </w:rPr>
        <w:t xml:space="preserve">Disability Services </w:t>
      </w:r>
      <w:r w:rsidR="00D12404">
        <w:rPr>
          <w:i/>
        </w:rPr>
        <w:t>Regulations 2004</w:t>
      </w:r>
      <w:r w:rsidRPr="00FD4BA2">
        <w:t xml:space="preserve">, </w:t>
      </w:r>
      <w:r>
        <w:t xml:space="preserve">each year </w:t>
      </w:r>
      <w:r w:rsidRPr="00FD4BA2">
        <w:t>HaDSCO collects complaint data from prescribed government and non-government disability service providers in Western Australia.</w:t>
      </w:r>
      <w:r>
        <w:t xml:space="preserve"> </w:t>
      </w:r>
      <w:r w:rsidRPr="001E0506">
        <w:t xml:space="preserve">The information collected by HaDSCO is used to identify systemic issues and trends across the disability sector and develop resource materials for </w:t>
      </w:r>
      <w:r>
        <w:t>stakeholders</w:t>
      </w:r>
      <w:r w:rsidRPr="001E0506">
        <w:t>. The data collection also provides HaDSCO with the opportunity to work with service providers to improve their complaints management processes.</w:t>
      </w:r>
    </w:p>
    <w:p w14:paraId="6E6DB2BC" w14:textId="77777777" w:rsidR="00DD475E" w:rsidRDefault="00DD475E" w:rsidP="00DD475E"/>
    <w:p w14:paraId="016ECF63" w14:textId="65AD4EB3" w:rsidR="00DD475E" w:rsidRDefault="00DD475E" w:rsidP="00DD475E">
      <w:r>
        <w:t xml:space="preserve">De-identified data is collected from 20 prescribed service providers. A list of the prescribed disability service providers can be found in Appendix </w:t>
      </w:r>
      <w:r w:rsidR="00426A40" w:rsidRPr="00426A40">
        <w:t>5.5</w:t>
      </w:r>
      <w:r>
        <w:t>. The information collected includes:</w:t>
      </w:r>
    </w:p>
    <w:p w14:paraId="1316AA76" w14:textId="77777777" w:rsidR="00DD475E" w:rsidRDefault="00DD475E" w:rsidP="00DD475E"/>
    <w:p w14:paraId="67962BC3" w14:textId="665A1344" w:rsidR="00DD475E" w:rsidRDefault="00DD475E" w:rsidP="00DD475E">
      <w:pPr>
        <w:pStyle w:val="ListParagraph"/>
        <w:numPr>
          <w:ilvl w:val="0"/>
          <w:numId w:val="10"/>
        </w:numPr>
        <w:ind w:left="426"/>
      </w:pPr>
      <w:r>
        <w:t>Number of complaints</w:t>
      </w:r>
      <w:r w:rsidR="006D3EB5">
        <w:t>.</w:t>
      </w:r>
    </w:p>
    <w:p w14:paraId="0719B458" w14:textId="28A2174F" w:rsidR="00DD475E" w:rsidRDefault="00DD475E" w:rsidP="00DD475E">
      <w:pPr>
        <w:pStyle w:val="ListParagraph"/>
        <w:numPr>
          <w:ilvl w:val="0"/>
          <w:numId w:val="10"/>
        </w:numPr>
        <w:ind w:left="426"/>
      </w:pPr>
      <w:r>
        <w:t>Demographics of consumers</w:t>
      </w:r>
      <w:r w:rsidR="006D3EB5">
        <w:t>.</w:t>
      </w:r>
    </w:p>
    <w:p w14:paraId="00283D55" w14:textId="6D64F1FC" w:rsidR="00DD475E" w:rsidRDefault="00DD475E" w:rsidP="00DD475E">
      <w:pPr>
        <w:pStyle w:val="ListParagraph"/>
        <w:numPr>
          <w:ilvl w:val="0"/>
          <w:numId w:val="10"/>
        </w:numPr>
        <w:ind w:left="426"/>
      </w:pPr>
      <w:r>
        <w:t>Complaint issues</w:t>
      </w:r>
      <w:r w:rsidR="006D3EB5">
        <w:t>.</w:t>
      </w:r>
    </w:p>
    <w:p w14:paraId="22C5A38C" w14:textId="54A44AE7" w:rsidR="00DD475E" w:rsidRDefault="00DD475E" w:rsidP="00DD475E">
      <w:pPr>
        <w:pStyle w:val="ListParagraph"/>
        <w:numPr>
          <w:ilvl w:val="0"/>
          <w:numId w:val="10"/>
        </w:numPr>
        <w:ind w:left="426"/>
      </w:pPr>
      <w:r>
        <w:t>Complaint outcomes</w:t>
      </w:r>
      <w:r w:rsidR="006D3EB5">
        <w:t>.</w:t>
      </w:r>
    </w:p>
    <w:p w14:paraId="131FF826" w14:textId="77777777" w:rsidR="00DD475E" w:rsidRDefault="00DD475E" w:rsidP="00DD475E">
      <w:pPr>
        <w:pStyle w:val="ListParagraph"/>
        <w:numPr>
          <w:ilvl w:val="0"/>
          <w:numId w:val="10"/>
        </w:numPr>
        <w:ind w:left="426"/>
      </w:pPr>
      <w:r>
        <w:t>Timeliness of complaint resolution.</w:t>
      </w:r>
    </w:p>
    <w:p w14:paraId="4C7F73D7" w14:textId="77777777" w:rsidR="00DD475E" w:rsidRDefault="00DD475E" w:rsidP="00DD475E"/>
    <w:p w14:paraId="508BD51F" w14:textId="77777777" w:rsidR="00DD475E" w:rsidRPr="00453757" w:rsidRDefault="00DD475E" w:rsidP="00DD475E">
      <w:r w:rsidRPr="00453757">
        <w:t>Unless otherwise</w:t>
      </w:r>
      <w:r>
        <w:t xml:space="preserve"> </w:t>
      </w:r>
      <w:r w:rsidRPr="00453757">
        <w:t>stated</w:t>
      </w:r>
      <w:r>
        <w:t>,</w:t>
      </w:r>
      <w:r w:rsidRPr="00453757">
        <w:t xml:space="preserve"> all of the data presented in this section is based on the complaints closed by disability service providers </w:t>
      </w:r>
      <w:r>
        <w:t>over the past three financial years</w:t>
      </w:r>
      <w:r w:rsidRPr="00453757">
        <w:t xml:space="preserve">. </w:t>
      </w:r>
    </w:p>
    <w:p w14:paraId="1F7BF42F" w14:textId="77777777" w:rsidR="00DD475E" w:rsidRPr="00DB5F50" w:rsidRDefault="00DD475E" w:rsidP="00DD475E"/>
    <w:p w14:paraId="71537475" w14:textId="77777777" w:rsidR="00DD475E" w:rsidRDefault="00DD475E" w:rsidP="00DD475E">
      <w:pPr>
        <w:rPr>
          <w:b/>
        </w:rPr>
      </w:pPr>
      <w:r>
        <w:rPr>
          <w:b/>
        </w:rPr>
        <w:t>Complaints managed by disability service providers</w:t>
      </w:r>
    </w:p>
    <w:p w14:paraId="29A78DFD" w14:textId="77777777" w:rsidR="00DD475E" w:rsidRPr="000C2718" w:rsidRDefault="00DD475E" w:rsidP="00DD475E"/>
    <w:p w14:paraId="1BFEE287" w14:textId="7EC039CE" w:rsidR="00DD475E" w:rsidRPr="00C51646" w:rsidRDefault="00DD475E" w:rsidP="00DD475E">
      <w:r>
        <w:t>In 2017-18,</w:t>
      </w:r>
      <w:r w:rsidRPr="00CD1E74">
        <w:t xml:space="preserve"> </w:t>
      </w:r>
      <w:r>
        <w:t>there was a de</w:t>
      </w:r>
      <w:r w:rsidRPr="004E31AB">
        <w:t>crease</w:t>
      </w:r>
      <w:r w:rsidR="006D3EB5">
        <w:t xml:space="preserve"> (3%,</w:t>
      </w:r>
      <w:r>
        <w:t>15</w:t>
      </w:r>
      <w:r w:rsidRPr="004E31AB">
        <w:t xml:space="preserve"> complaints) in the</w:t>
      </w:r>
      <w:r>
        <w:t xml:space="preserve"> number of complaints received by prescribed disability service providers. The</w:t>
      </w:r>
      <w:r w:rsidR="006D3EB5">
        <w:t>re was also a decrease (8%, </w:t>
      </w:r>
      <w:r>
        <w:t xml:space="preserve">36 complaints) in the number of complaints closed. The total number of issues also decreased, along with the average number of issues per complaint (2.1 issues per complaint closed in 2017-18, compared to 2.6 issues per complaint in 2016-17 and 2.5 issues per complaint in 2015-16). The number of complaints received and closed by disability service </w:t>
      </w:r>
      <w:r w:rsidRPr="00C51646">
        <w:t xml:space="preserve">providers can be seen in </w:t>
      </w:r>
      <w:r>
        <w:t>Figure 26</w:t>
      </w:r>
      <w:r w:rsidRPr="00C51646">
        <w:t xml:space="preserve">. </w:t>
      </w:r>
    </w:p>
    <w:p w14:paraId="1C4510B0" w14:textId="77777777" w:rsidR="00DD475E" w:rsidRPr="00C51646" w:rsidRDefault="00DD475E" w:rsidP="00DD475E"/>
    <w:p w14:paraId="209DF9E5" w14:textId="77777777" w:rsidR="00DD475E" w:rsidRDefault="00DD475E" w:rsidP="00DD475E">
      <w:pPr>
        <w:pStyle w:val="Normal-L3"/>
        <w:spacing w:line="276" w:lineRule="auto"/>
        <w:rPr>
          <w:rFonts w:eastAsiaTheme="majorEastAsia" w:cstheme="majorBidi"/>
          <w:b/>
          <w:bCs/>
          <w:color w:val="000000" w:themeColor="text1"/>
          <w:szCs w:val="24"/>
        </w:rPr>
      </w:pPr>
      <w:r w:rsidRPr="00C51646">
        <w:rPr>
          <w:rFonts w:eastAsiaTheme="majorEastAsia" w:cstheme="majorBidi"/>
          <w:b/>
          <w:bCs/>
          <w:color w:val="000000" w:themeColor="text1"/>
          <w:szCs w:val="24"/>
        </w:rPr>
        <w:t xml:space="preserve">Figure </w:t>
      </w:r>
      <w:r>
        <w:rPr>
          <w:rFonts w:eastAsiaTheme="majorEastAsia" w:cstheme="majorBidi"/>
          <w:b/>
          <w:bCs/>
          <w:color w:val="000000" w:themeColor="text1"/>
          <w:szCs w:val="24"/>
        </w:rPr>
        <w:t>26</w:t>
      </w:r>
      <w:r w:rsidRPr="00C51646">
        <w:rPr>
          <w:rFonts w:eastAsiaTheme="majorEastAsia" w:cstheme="majorBidi"/>
          <w:b/>
          <w:bCs/>
          <w:color w:val="000000" w:themeColor="text1"/>
          <w:szCs w:val="24"/>
        </w:rPr>
        <w:t>: Complaints</w:t>
      </w:r>
      <w:r>
        <w:rPr>
          <w:rFonts w:eastAsiaTheme="majorEastAsia" w:cstheme="majorBidi"/>
          <w:b/>
          <w:bCs/>
          <w:color w:val="000000" w:themeColor="text1"/>
          <w:szCs w:val="24"/>
        </w:rPr>
        <w:t xml:space="preserve"> managed by disability services providers</w:t>
      </w:r>
    </w:p>
    <w:p w14:paraId="67888461" w14:textId="77777777" w:rsidR="00DD475E" w:rsidRPr="000C2718" w:rsidRDefault="00DD475E" w:rsidP="00DD475E">
      <w:r>
        <w:rPr>
          <w:noProof/>
          <w:lang w:eastAsia="en-AU"/>
        </w:rPr>
        <w:drawing>
          <wp:inline distT="0" distB="0" distL="0" distR="0" wp14:anchorId="78463846" wp14:editId="38E9CDD7">
            <wp:extent cx="5472000" cy="2016000"/>
            <wp:effectExtent l="0" t="0" r="14605" b="2286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B4B744C" w14:textId="77777777" w:rsidR="00DD475E" w:rsidRDefault="00DD475E" w:rsidP="00DD475E">
      <w:pPr>
        <w:rPr>
          <w:b/>
        </w:rPr>
      </w:pPr>
    </w:p>
    <w:p w14:paraId="18B97981" w14:textId="77777777" w:rsidR="00DD475E" w:rsidRDefault="00DD475E" w:rsidP="00DD475E">
      <w:pPr>
        <w:rPr>
          <w:b/>
        </w:rPr>
      </w:pPr>
    </w:p>
    <w:p w14:paraId="1E7700F0" w14:textId="77777777" w:rsidR="00DD475E" w:rsidRDefault="00DD475E" w:rsidP="00DD475E">
      <w:pPr>
        <w:rPr>
          <w:b/>
        </w:rPr>
      </w:pPr>
    </w:p>
    <w:p w14:paraId="566BBE12" w14:textId="77777777" w:rsidR="00DD475E" w:rsidRDefault="00DD475E" w:rsidP="00DD475E">
      <w:pPr>
        <w:rPr>
          <w:b/>
        </w:rPr>
      </w:pPr>
    </w:p>
    <w:p w14:paraId="65703008" w14:textId="77777777" w:rsidR="00DD475E" w:rsidRDefault="00DD475E" w:rsidP="00DD475E">
      <w:pPr>
        <w:rPr>
          <w:b/>
        </w:rPr>
      </w:pPr>
      <w:r>
        <w:rPr>
          <w:b/>
        </w:rPr>
        <w:lastRenderedPageBreak/>
        <w:t xml:space="preserve">Individual making the complaint </w:t>
      </w:r>
    </w:p>
    <w:p w14:paraId="1BEF8571" w14:textId="77777777" w:rsidR="00DD475E" w:rsidRPr="00C94DA2" w:rsidRDefault="00DD475E" w:rsidP="00DD475E">
      <w:pPr>
        <w:rPr>
          <w:b/>
        </w:rPr>
      </w:pPr>
    </w:p>
    <w:p w14:paraId="4EDEEE0E" w14:textId="77777777" w:rsidR="00DD475E" w:rsidRPr="00C51646" w:rsidRDefault="00DD475E" w:rsidP="00DD475E">
      <w:pPr>
        <w:pStyle w:val="Normal-L3"/>
        <w:rPr>
          <w:rFonts w:eastAsiaTheme="majorEastAsia" w:cstheme="majorBidi"/>
          <w:bCs/>
          <w:color w:val="000000" w:themeColor="text1"/>
          <w:szCs w:val="24"/>
        </w:rPr>
      </w:pPr>
      <w:r>
        <w:rPr>
          <w:rFonts w:eastAsiaTheme="majorEastAsia" w:cstheme="majorBidi"/>
          <w:bCs/>
          <w:color w:val="000000" w:themeColor="text1"/>
          <w:szCs w:val="24"/>
        </w:rPr>
        <w:t>In 2017-18, the majority of complaints (84%) received by disability service providers were made by someone acting on behalf of the individual who received the service, typically a family memb</w:t>
      </w:r>
      <w:r w:rsidRPr="00C51646">
        <w:rPr>
          <w:rFonts w:eastAsiaTheme="majorEastAsia" w:cstheme="majorBidi"/>
          <w:bCs/>
          <w:color w:val="000000" w:themeColor="text1"/>
          <w:szCs w:val="24"/>
        </w:rPr>
        <w:t xml:space="preserve">er or guardian, as shown in </w:t>
      </w:r>
      <w:r>
        <w:rPr>
          <w:rFonts w:eastAsiaTheme="majorEastAsia" w:cstheme="majorBidi"/>
          <w:bCs/>
          <w:color w:val="000000" w:themeColor="text1"/>
          <w:szCs w:val="24"/>
        </w:rPr>
        <w:t>Figure 27</w:t>
      </w:r>
      <w:r w:rsidRPr="00C51646">
        <w:rPr>
          <w:rFonts w:eastAsiaTheme="majorEastAsia" w:cstheme="majorBidi"/>
          <w:bCs/>
          <w:color w:val="000000" w:themeColor="text1"/>
          <w:szCs w:val="24"/>
        </w:rPr>
        <w:t>.</w:t>
      </w:r>
    </w:p>
    <w:p w14:paraId="595F7D28" w14:textId="77777777" w:rsidR="00DD475E" w:rsidRPr="00C51646" w:rsidRDefault="00DD475E" w:rsidP="00DD475E">
      <w:pPr>
        <w:pStyle w:val="Normal-L3"/>
        <w:rPr>
          <w:rFonts w:eastAsiaTheme="majorEastAsia" w:cstheme="majorBidi"/>
          <w:bCs/>
          <w:color w:val="000000" w:themeColor="text1"/>
          <w:szCs w:val="24"/>
        </w:rPr>
      </w:pPr>
    </w:p>
    <w:p w14:paraId="3F513ADA" w14:textId="4CEBD69F" w:rsidR="00DD475E" w:rsidRDefault="00DD475E" w:rsidP="00DD475E">
      <w:r>
        <w:t>There was a decrease observed in the proportion of complaints made by parents/guardians in 2017-18 (from 63% in 2016-17 to 57% in 2017-18). The proportion of complaints made by individuals</w:t>
      </w:r>
      <w:r w:rsidR="006D3EB5">
        <w:t xml:space="preserve"> in the ‘Other’ category</w:t>
      </w:r>
      <w:r>
        <w:t xml:space="preserve"> has increased gradually over the past three years; other individuals making a complaint in 2017-18 included local area coordinators and staff from other organisations. </w:t>
      </w:r>
    </w:p>
    <w:p w14:paraId="2A4B9670" w14:textId="77777777" w:rsidR="00DD475E" w:rsidRDefault="00DD475E" w:rsidP="00DD475E"/>
    <w:p w14:paraId="30D706FA" w14:textId="77777777" w:rsidR="00DD475E" w:rsidRPr="00812077" w:rsidRDefault="00DD475E" w:rsidP="00DD475E">
      <w:pPr>
        <w:jc w:val="both"/>
        <w:rPr>
          <w:b/>
        </w:rPr>
      </w:pPr>
      <w:r w:rsidRPr="00C51646">
        <w:rPr>
          <w:rFonts w:eastAsiaTheme="majorEastAsia" w:cstheme="majorBidi"/>
          <w:b/>
          <w:bCs/>
          <w:color w:val="000000" w:themeColor="text1"/>
        </w:rPr>
        <w:t>Figure 2</w:t>
      </w:r>
      <w:r>
        <w:rPr>
          <w:rFonts w:eastAsiaTheme="majorEastAsia" w:cstheme="majorBidi"/>
          <w:b/>
          <w:bCs/>
          <w:color w:val="000000" w:themeColor="text1"/>
        </w:rPr>
        <w:t>7</w:t>
      </w:r>
      <w:r w:rsidRPr="00C51646">
        <w:rPr>
          <w:rFonts w:eastAsiaTheme="majorEastAsia" w:cstheme="majorBidi"/>
          <w:b/>
          <w:bCs/>
          <w:color w:val="000000" w:themeColor="text1"/>
        </w:rPr>
        <w:t xml:space="preserve">: </w:t>
      </w:r>
      <w:r w:rsidRPr="00C51646">
        <w:rPr>
          <w:b/>
        </w:rPr>
        <w:t>Individual</w:t>
      </w:r>
      <w:r>
        <w:rPr>
          <w:b/>
        </w:rPr>
        <w:t xml:space="preserve"> making the complaint </w:t>
      </w:r>
    </w:p>
    <w:p w14:paraId="443378D1" w14:textId="77777777" w:rsidR="00DD475E" w:rsidRDefault="00DD475E" w:rsidP="00DD475E">
      <w:r w:rsidRPr="001F1FD0">
        <w:rPr>
          <w:noProof/>
          <w:lang w:eastAsia="en-AU"/>
        </w:rPr>
        <w:drawing>
          <wp:inline distT="0" distB="0" distL="0" distR="0" wp14:anchorId="7C8A870B" wp14:editId="696BBE4F">
            <wp:extent cx="4486275" cy="4104000"/>
            <wp:effectExtent l="0" t="0" r="9525" b="11430"/>
            <wp:docPr id="334" name="Chart 3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5AEB528" w14:textId="77777777" w:rsidR="00DD475E" w:rsidRDefault="00DD475E" w:rsidP="00DD475E">
      <w:pPr>
        <w:rPr>
          <w:i/>
          <w:sz w:val="16"/>
          <w:szCs w:val="16"/>
        </w:rPr>
      </w:pPr>
    </w:p>
    <w:p w14:paraId="1A688119" w14:textId="77777777" w:rsidR="00DD475E" w:rsidRPr="00574DAE" w:rsidRDefault="00DD475E" w:rsidP="00DD475E">
      <w:pPr>
        <w:rPr>
          <w:i/>
          <w:sz w:val="16"/>
          <w:szCs w:val="16"/>
        </w:rPr>
      </w:pPr>
      <w:r w:rsidRPr="00574DAE">
        <w:rPr>
          <w:i/>
          <w:sz w:val="16"/>
          <w:szCs w:val="16"/>
        </w:rPr>
        <w:t>Totals may not sum to 100%; a complaint may</w:t>
      </w:r>
      <w:r>
        <w:rPr>
          <w:i/>
          <w:sz w:val="16"/>
          <w:szCs w:val="16"/>
        </w:rPr>
        <w:t xml:space="preserve"> be made by multiple individuals</w:t>
      </w:r>
      <w:r w:rsidRPr="00574DAE">
        <w:rPr>
          <w:i/>
          <w:sz w:val="16"/>
          <w:szCs w:val="16"/>
        </w:rPr>
        <w:t>.</w:t>
      </w:r>
    </w:p>
    <w:p w14:paraId="362D4D16" w14:textId="77777777" w:rsidR="00DD475E" w:rsidRDefault="00DD475E" w:rsidP="00DD475E"/>
    <w:p w14:paraId="02F316E5" w14:textId="77777777" w:rsidR="00DD475E" w:rsidRDefault="00DD475E" w:rsidP="00DD475E">
      <w:pPr>
        <w:rPr>
          <w:b/>
        </w:rPr>
      </w:pPr>
    </w:p>
    <w:p w14:paraId="42C1F0C2" w14:textId="77777777" w:rsidR="00DD475E" w:rsidRDefault="00DD475E" w:rsidP="00DD475E">
      <w:pPr>
        <w:rPr>
          <w:b/>
        </w:rPr>
      </w:pPr>
    </w:p>
    <w:p w14:paraId="253E2AB5" w14:textId="77777777" w:rsidR="00DD475E" w:rsidRDefault="00DD475E" w:rsidP="00DD475E">
      <w:pPr>
        <w:rPr>
          <w:b/>
        </w:rPr>
      </w:pPr>
    </w:p>
    <w:p w14:paraId="5CF91F45" w14:textId="77777777" w:rsidR="00DD475E" w:rsidRDefault="00DD475E" w:rsidP="00DD475E">
      <w:pPr>
        <w:rPr>
          <w:b/>
        </w:rPr>
      </w:pPr>
    </w:p>
    <w:p w14:paraId="5C3178C6" w14:textId="77777777" w:rsidR="00DD475E" w:rsidRDefault="00DD475E" w:rsidP="00DD475E">
      <w:pPr>
        <w:rPr>
          <w:b/>
        </w:rPr>
      </w:pPr>
    </w:p>
    <w:p w14:paraId="70F3348B" w14:textId="77777777" w:rsidR="00DD475E" w:rsidRDefault="00DD475E" w:rsidP="00DD475E">
      <w:pPr>
        <w:rPr>
          <w:b/>
        </w:rPr>
      </w:pPr>
    </w:p>
    <w:p w14:paraId="3D33B8EC" w14:textId="77777777" w:rsidR="00DD475E" w:rsidRDefault="00DD475E" w:rsidP="00DD475E">
      <w:pPr>
        <w:rPr>
          <w:b/>
        </w:rPr>
      </w:pPr>
    </w:p>
    <w:p w14:paraId="044A1C51" w14:textId="77777777" w:rsidR="00DD475E" w:rsidRDefault="00DD475E" w:rsidP="00DD475E">
      <w:pPr>
        <w:rPr>
          <w:b/>
        </w:rPr>
      </w:pPr>
    </w:p>
    <w:p w14:paraId="2A2CF617" w14:textId="77777777" w:rsidR="00DD475E" w:rsidRDefault="00DD475E" w:rsidP="00DD475E">
      <w:pPr>
        <w:rPr>
          <w:b/>
        </w:rPr>
      </w:pPr>
    </w:p>
    <w:p w14:paraId="19E99FB5" w14:textId="77777777" w:rsidR="00DD475E" w:rsidRDefault="00DD475E" w:rsidP="00DD475E">
      <w:pPr>
        <w:rPr>
          <w:b/>
        </w:rPr>
      </w:pPr>
    </w:p>
    <w:p w14:paraId="32A0A3F1" w14:textId="77777777" w:rsidR="00DD475E" w:rsidRDefault="00DD475E" w:rsidP="00DD475E">
      <w:pPr>
        <w:rPr>
          <w:b/>
        </w:rPr>
      </w:pPr>
    </w:p>
    <w:p w14:paraId="57BE2F70" w14:textId="77777777" w:rsidR="00DD475E" w:rsidRDefault="00DD475E" w:rsidP="00DD475E">
      <w:pPr>
        <w:spacing w:after="200" w:line="276" w:lineRule="auto"/>
        <w:rPr>
          <w:b/>
        </w:rPr>
      </w:pPr>
      <w:r>
        <w:rPr>
          <w:b/>
        </w:rPr>
        <w:br w:type="page"/>
      </w:r>
    </w:p>
    <w:p w14:paraId="362EC231" w14:textId="77777777" w:rsidR="00DD475E" w:rsidRDefault="00DD475E" w:rsidP="00DD475E">
      <w:pPr>
        <w:rPr>
          <w:b/>
        </w:rPr>
      </w:pPr>
      <w:r>
        <w:rPr>
          <w:b/>
        </w:rPr>
        <w:lastRenderedPageBreak/>
        <w:t>Demographics of the individual receiving the service</w:t>
      </w:r>
    </w:p>
    <w:p w14:paraId="3ADC97DC" w14:textId="77777777" w:rsidR="00DD475E" w:rsidRPr="00FF483F" w:rsidRDefault="00DD475E" w:rsidP="00DD475E">
      <w:pPr>
        <w:rPr>
          <w:b/>
        </w:rPr>
      </w:pPr>
    </w:p>
    <w:p w14:paraId="3BBAA665" w14:textId="77777777" w:rsidR="00DD475E" w:rsidRPr="00C51646" w:rsidRDefault="00DD475E" w:rsidP="00DD475E">
      <w:r>
        <w:t>Complaints about disability services were most likely to concern individuals between the ages of 5</w:t>
      </w:r>
      <w:r w:rsidRPr="00C51646">
        <w:t xml:space="preserve"> and</w:t>
      </w:r>
      <w:r>
        <w:t xml:space="preserve"> 6</w:t>
      </w:r>
      <w:r w:rsidRPr="00C51646">
        <w:t xml:space="preserve">5, as seen in </w:t>
      </w:r>
      <w:r>
        <w:t>Figure 28</w:t>
      </w:r>
      <w:r w:rsidRPr="00C51646">
        <w:t xml:space="preserve">. Few complaints about disability services concerned individuals </w:t>
      </w:r>
      <w:r>
        <w:t>66</w:t>
      </w:r>
      <w:r w:rsidRPr="00C51646">
        <w:t xml:space="preserve"> years of age and older. </w:t>
      </w:r>
    </w:p>
    <w:p w14:paraId="028E3182" w14:textId="77777777" w:rsidR="00DD475E" w:rsidRPr="00C51646" w:rsidRDefault="00DD475E" w:rsidP="00DD475E"/>
    <w:p w14:paraId="240E0046" w14:textId="77777777" w:rsidR="00DD475E" w:rsidRDefault="00DD475E" w:rsidP="00DD475E">
      <w:pPr>
        <w:pStyle w:val="Normal-L3"/>
        <w:spacing w:line="276" w:lineRule="auto"/>
        <w:jc w:val="both"/>
        <w:rPr>
          <w:rFonts w:eastAsiaTheme="majorEastAsia" w:cstheme="majorBidi"/>
          <w:b/>
          <w:bCs/>
          <w:color w:val="000000" w:themeColor="text1"/>
          <w:szCs w:val="24"/>
        </w:rPr>
      </w:pPr>
      <w:r w:rsidRPr="00C51646">
        <w:rPr>
          <w:rFonts w:eastAsiaTheme="majorEastAsia" w:cstheme="majorBidi"/>
          <w:b/>
          <w:bCs/>
          <w:color w:val="000000" w:themeColor="text1"/>
          <w:szCs w:val="24"/>
        </w:rPr>
        <w:t xml:space="preserve">Figure </w:t>
      </w:r>
      <w:r>
        <w:rPr>
          <w:rFonts w:eastAsiaTheme="majorEastAsia" w:cstheme="majorBidi"/>
          <w:b/>
          <w:bCs/>
          <w:color w:val="000000" w:themeColor="text1"/>
          <w:szCs w:val="24"/>
        </w:rPr>
        <w:t>28</w:t>
      </w:r>
      <w:r w:rsidRPr="00C51646">
        <w:rPr>
          <w:rFonts w:eastAsiaTheme="majorEastAsia" w:cstheme="majorBidi"/>
          <w:b/>
          <w:bCs/>
          <w:color w:val="000000" w:themeColor="text1"/>
          <w:szCs w:val="24"/>
        </w:rPr>
        <w:t>: Age</w:t>
      </w:r>
      <w:r>
        <w:rPr>
          <w:rFonts w:eastAsiaTheme="majorEastAsia" w:cstheme="majorBidi"/>
          <w:b/>
          <w:bCs/>
          <w:color w:val="000000" w:themeColor="text1"/>
          <w:szCs w:val="24"/>
        </w:rPr>
        <w:t xml:space="preserve"> of the individual receiving the service </w:t>
      </w:r>
    </w:p>
    <w:p w14:paraId="482D522D" w14:textId="77777777" w:rsidR="00DD475E" w:rsidRDefault="00DD475E" w:rsidP="00DD475E">
      <w:pPr>
        <w:pStyle w:val="Normal-L3"/>
        <w:spacing w:line="276" w:lineRule="auto"/>
        <w:jc w:val="both"/>
        <w:rPr>
          <w:rFonts w:eastAsiaTheme="majorEastAsia" w:cstheme="majorBidi"/>
          <w:b/>
          <w:bCs/>
          <w:color w:val="000000" w:themeColor="text1"/>
          <w:szCs w:val="24"/>
        </w:rPr>
      </w:pPr>
      <w:r w:rsidRPr="001F1FD0">
        <w:rPr>
          <w:noProof/>
          <w:lang w:eastAsia="en-AU"/>
        </w:rPr>
        <w:drawing>
          <wp:inline distT="0" distB="0" distL="0" distR="0" wp14:anchorId="6570CC91" wp14:editId="3364B7C9">
            <wp:extent cx="4867275" cy="4932000"/>
            <wp:effectExtent l="0" t="0" r="9525" b="21590"/>
            <wp:docPr id="344" name="Chart 34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DB6638A" w14:textId="77777777" w:rsidR="00DD475E" w:rsidRDefault="00DD475E" w:rsidP="00DD475E">
      <w:pPr>
        <w:rPr>
          <w:i/>
          <w:sz w:val="16"/>
          <w:szCs w:val="16"/>
        </w:rPr>
      </w:pPr>
    </w:p>
    <w:p w14:paraId="29155AC8" w14:textId="77777777" w:rsidR="00DD475E" w:rsidRPr="00574DAE" w:rsidRDefault="00DD475E" w:rsidP="00DD475E">
      <w:pPr>
        <w:rPr>
          <w:i/>
          <w:sz w:val="16"/>
          <w:szCs w:val="16"/>
        </w:rPr>
      </w:pPr>
      <w:r w:rsidRPr="00574DAE">
        <w:rPr>
          <w:i/>
          <w:sz w:val="16"/>
          <w:szCs w:val="16"/>
        </w:rPr>
        <w:t>Totals may not sum to 100%; a complaint may</w:t>
      </w:r>
      <w:r>
        <w:rPr>
          <w:i/>
          <w:sz w:val="16"/>
          <w:szCs w:val="16"/>
        </w:rPr>
        <w:t xml:space="preserve"> be made by multiple individuals or anonymous data may record no age</w:t>
      </w:r>
      <w:r w:rsidRPr="00574DAE">
        <w:rPr>
          <w:i/>
          <w:sz w:val="16"/>
          <w:szCs w:val="16"/>
        </w:rPr>
        <w:t>.</w:t>
      </w:r>
    </w:p>
    <w:p w14:paraId="33488698" w14:textId="77777777" w:rsidR="00DD475E" w:rsidRDefault="00DD475E" w:rsidP="00DD475E">
      <w:pPr>
        <w:pStyle w:val="Normal-L3"/>
        <w:spacing w:line="276" w:lineRule="auto"/>
        <w:jc w:val="both"/>
        <w:rPr>
          <w:rFonts w:eastAsiaTheme="majorEastAsia" w:cstheme="majorBidi"/>
          <w:b/>
          <w:bCs/>
          <w:color w:val="000000" w:themeColor="text1"/>
          <w:szCs w:val="24"/>
        </w:rPr>
      </w:pPr>
    </w:p>
    <w:p w14:paraId="00604A31" w14:textId="77777777" w:rsidR="00DD475E" w:rsidRDefault="00DD475E" w:rsidP="00DD475E">
      <w:pPr>
        <w:pStyle w:val="Normal-L3"/>
        <w:spacing w:line="276" w:lineRule="auto"/>
        <w:jc w:val="both"/>
        <w:rPr>
          <w:rFonts w:eastAsiaTheme="majorEastAsia" w:cstheme="majorBidi"/>
          <w:b/>
          <w:bCs/>
          <w:color w:val="000000" w:themeColor="text1"/>
          <w:szCs w:val="24"/>
        </w:rPr>
      </w:pPr>
    </w:p>
    <w:p w14:paraId="090AEC88" w14:textId="77777777" w:rsidR="00DD475E" w:rsidRDefault="00DD475E" w:rsidP="00DD475E">
      <w:pPr>
        <w:pStyle w:val="Normal-L3"/>
        <w:spacing w:line="276" w:lineRule="auto"/>
        <w:jc w:val="both"/>
        <w:rPr>
          <w:rFonts w:eastAsiaTheme="majorEastAsia" w:cstheme="majorBidi"/>
          <w:b/>
          <w:bCs/>
          <w:color w:val="000000" w:themeColor="text1"/>
          <w:szCs w:val="24"/>
        </w:rPr>
      </w:pPr>
    </w:p>
    <w:p w14:paraId="0320CFC3" w14:textId="77777777" w:rsidR="00DD475E" w:rsidRDefault="00DD475E" w:rsidP="00DD475E">
      <w:pPr>
        <w:pStyle w:val="Normal-L3"/>
        <w:spacing w:line="276" w:lineRule="auto"/>
        <w:jc w:val="both"/>
        <w:rPr>
          <w:rFonts w:eastAsiaTheme="majorEastAsia" w:cstheme="majorBidi"/>
          <w:b/>
          <w:bCs/>
          <w:color w:val="000000" w:themeColor="text1"/>
          <w:szCs w:val="24"/>
        </w:rPr>
      </w:pPr>
    </w:p>
    <w:p w14:paraId="1CCF3018" w14:textId="77777777" w:rsidR="00DD475E" w:rsidRDefault="00DD475E" w:rsidP="00DD475E">
      <w:pPr>
        <w:spacing w:after="200" w:line="276" w:lineRule="auto"/>
        <w:rPr>
          <w:rFonts w:eastAsiaTheme="majorEastAsia" w:cstheme="majorBidi"/>
          <w:b/>
          <w:bCs/>
          <w:color w:val="000000" w:themeColor="text1"/>
        </w:rPr>
      </w:pPr>
      <w:r>
        <w:rPr>
          <w:rFonts w:eastAsiaTheme="majorEastAsia" w:cstheme="majorBidi"/>
          <w:b/>
          <w:bCs/>
          <w:color w:val="000000" w:themeColor="text1"/>
        </w:rPr>
        <w:br w:type="page"/>
      </w:r>
    </w:p>
    <w:p w14:paraId="5374BF25" w14:textId="77777777" w:rsidR="00DD475E" w:rsidRPr="00C51646" w:rsidRDefault="00DD475E" w:rsidP="00DD475E">
      <w:r>
        <w:lastRenderedPageBreak/>
        <w:t>T</w:t>
      </w:r>
      <w:r w:rsidRPr="00620524">
        <w:t xml:space="preserve">he characteristics </w:t>
      </w:r>
      <w:r w:rsidRPr="00C51646">
        <w:t xml:space="preserve">of individuals who </w:t>
      </w:r>
      <w:r>
        <w:t>received a disability service</w:t>
      </w:r>
      <w:r w:rsidRPr="00C51646">
        <w:t xml:space="preserve"> are shown in </w:t>
      </w:r>
      <w:r>
        <w:t>Figure 29</w:t>
      </w:r>
      <w:r w:rsidRPr="00C51646">
        <w:t>.</w:t>
      </w:r>
    </w:p>
    <w:p w14:paraId="40D5E1C2" w14:textId="77777777" w:rsidR="00DD475E" w:rsidRPr="00C51646" w:rsidRDefault="00DD475E" w:rsidP="00DD475E"/>
    <w:p w14:paraId="684297DB" w14:textId="77777777" w:rsidR="00DD475E" w:rsidRPr="00C51646" w:rsidRDefault="00DD475E" w:rsidP="00DD475E">
      <w:r>
        <w:t xml:space="preserve">In 2017-18, the proportion of individuals </w:t>
      </w:r>
      <w:r w:rsidRPr="00C51646">
        <w:t>who identified as Aboriginal and Torres Strait Islander and as coming from a culturally and linguistically diverse background</w:t>
      </w:r>
      <w:r>
        <w:t xml:space="preserve"> remained consistent with 2016-17.</w:t>
      </w:r>
      <w:r w:rsidRPr="00C51646">
        <w:t xml:space="preserve"> </w:t>
      </w:r>
      <w:r>
        <w:t>As seen in prior years, m</w:t>
      </w:r>
      <w:r w:rsidRPr="00C51646">
        <w:t xml:space="preserve">ales </w:t>
      </w:r>
      <w:r>
        <w:t xml:space="preserve">continue to be </w:t>
      </w:r>
      <w:r w:rsidRPr="00C51646">
        <w:t>identified more frequently in complaints than females</w:t>
      </w:r>
      <w:r>
        <w:t xml:space="preserve"> in 2017-18.</w:t>
      </w:r>
    </w:p>
    <w:p w14:paraId="5DC8983B" w14:textId="77777777" w:rsidR="00DD475E" w:rsidRPr="00C51646" w:rsidRDefault="00DD475E" w:rsidP="00DD475E">
      <w:pPr>
        <w:pStyle w:val="Normal-L3"/>
        <w:spacing w:line="276" w:lineRule="auto"/>
        <w:jc w:val="both"/>
        <w:rPr>
          <w:rFonts w:eastAsiaTheme="majorEastAsia" w:cstheme="majorBidi"/>
          <w:b/>
          <w:bCs/>
          <w:color w:val="000000" w:themeColor="text1"/>
          <w:szCs w:val="24"/>
        </w:rPr>
      </w:pPr>
    </w:p>
    <w:p w14:paraId="7384E9F2" w14:textId="77777777" w:rsidR="00DD475E" w:rsidRDefault="00DD475E" w:rsidP="00DD475E">
      <w:pPr>
        <w:pStyle w:val="Normal-L3"/>
        <w:spacing w:line="276" w:lineRule="auto"/>
        <w:jc w:val="both"/>
        <w:rPr>
          <w:rFonts w:eastAsiaTheme="majorEastAsia" w:cstheme="majorBidi"/>
          <w:b/>
          <w:bCs/>
          <w:color w:val="000000" w:themeColor="text1"/>
          <w:szCs w:val="24"/>
        </w:rPr>
      </w:pPr>
      <w:r w:rsidRPr="00C51646">
        <w:rPr>
          <w:rFonts w:eastAsiaTheme="majorEastAsia" w:cstheme="majorBidi"/>
          <w:b/>
          <w:bCs/>
          <w:color w:val="000000" w:themeColor="text1"/>
          <w:szCs w:val="24"/>
        </w:rPr>
        <w:t xml:space="preserve">Figure </w:t>
      </w:r>
      <w:r>
        <w:rPr>
          <w:rFonts w:eastAsiaTheme="majorEastAsia" w:cstheme="majorBidi"/>
          <w:b/>
          <w:bCs/>
          <w:color w:val="000000" w:themeColor="text1"/>
          <w:szCs w:val="24"/>
        </w:rPr>
        <w:t>29</w:t>
      </w:r>
      <w:r w:rsidRPr="00C51646">
        <w:rPr>
          <w:rFonts w:eastAsiaTheme="majorEastAsia" w:cstheme="majorBidi"/>
          <w:b/>
          <w:bCs/>
          <w:color w:val="000000" w:themeColor="text1"/>
          <w:szCs w:val="24"/>
        </w:rPr>
        <w:t>:</w:t>
      </w:r>
      <w:r w:rsidRPr="00467EC0">
        <w:rPr>
          <w:rFonts w:eastAsiaTheme="majorEastAsia" w:cstheme="majorBidi"/>
          <w:b/>
          <w:bCs/>
          <w:color w:val="000000" w:themeColor="text1"/>
          <w:szCs w:val="24"/>
        </w:rPr>
        <w:t xml:space="preserve"> </w:t>
      </w:r>
      <w:r>
        <w:rPr>
          <w:rFonts w:eastAsiaTheme="majorEastAsia" w:cstheme="majorBidi"/>
          <w:b/>
          <w:bCs/>
          <w:color w:val="000000" w:themeColor="text1"/>
          <w:szCs w:val="24"/>
        </w:rPr>
        <w:t xml:space="preserve">Characteristics of individuals receiving a service* </w:t>
      </w:r>
    </w:p>
    <w:p w14:paraId="4D0FD2F0" w14:textId="77777777" w:rsidR="00DD475E" w:rsidRDefault="00DD475E" w:rsidP="00DD475E">
      <w:pPr>
        <w:jc w:val="center"/>
      </w:pPr>
      <w:r>
        <w:rPr>
          <w:noProof/>
          <w:lang w:eastAsia="en-AU"/>
        </w:rPr>
        <w:drawing>
          <wp:inline distT="0" distB="0" distL="0" distR="0" wp14:anchorId="39EB5D15" wp14:editId="155EB7E9">
            <wp:extent cx="5943600" cy="3019425"/>
            <wp:effectExtent l="0" t="0" r="19050" b="9525"/>
            <wp:docPr id="345" name="Chart 34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31C1BEC" w14:textId="77777777" w:rsidR="00DD475E" w:rsidRDefault="00DD475E" w:rsidP="00DD475E">
      <w:pPr>
        <w:rPr>
          <w:i/>
          <w:sz w:val="16"/>
          <w:szCs w:val="16"/>
        </w:rPr>
      </w:pPr>
    </w:p>
    <w:p w14:paraId="18682BAA" w14:textId="77777777" w:rsidR="00DD475E" w:rsidRPr="007E3EB0" w:rsidRDefault="00DD475E" w:rsidP="00DD475E">
      <w:pPr>
        <w:rPr>
          <w:i/>
          <w:sz w:val="16"/>
          <w:szCs w:val="16"/>
        </w:rPr>
      </w:pPr>
      <w:r w:rsidRPr="007E3EB0">
        <w:rPr>
          <w:i/>
          <w:sz w:val="16"/>
          <w:szCs w:val="16"/>
        </w:rPr>
        <w:t>Sample sizes: identify as Aboriginal or Torres Strait Islander (2015-16 n=368, 2016-17 n=422</w:t>
      </w:r>
      <w:r>
        <w:rPr>
          <w:i/>
          <w:sz w:val="16"/>
          <w:szCs w:val="16"/>
        </w:rPr>
        <w:t>, 2017-18 n=364</w:t>
      </w:r>
      <w:r w:rsidRPr="007E3EB0">
        <w:rPr>
          <w:i/>
          <w:sz w:val="16"/>
          <w:szCs w:val="16"/>
        </w:rPr>
        <w:t>); culturally and linguistically diverse background (2015-16 n=367, 2016-17 n=360, 2017-18 n=</w:t>
      </w:r>
      <w:r>
        <w:rPr>
          <w:i/>
          <w:sz w:val="16"/>
          <w:szCs w:val="16"/>
        </w:rPr>
        <w:t>366</w:t>
      </w:r>
      <w:r w:rsidRPr="007E3EB0">
        <w:rPr>
          <w:i/>
          <w:sz w:val="16"/>
          <w:szCs w:val="16"/>
        </w:rPr>
        <w:t>); gender (2015-16 n=368, 2016-17 n=440</w:t>
      </w:r>
      <w:r>
        <w:rPr>
          <w:i/>
          <w:sz w:val="16"/>
          <w:szCs w:val="16"/>
        </w:rPr>
        <w:t>, 2017-18 n=397</w:t>
      </w:r>
      <w:r w:rsidRPr="007E3EB0">
        <w:rPr>
          <w:i/>
          <w:sz w:val="16"/>
          <w:szCs w:val="16"/>
        </w:rPr>
        <w:t>).</w:t>
      </w:r>
    </w:p>
    <w:p w14:paraId="6F5FE70E" w14:textId="77777777" w:rsidR="00DD475E" w:rsidRPr="00F87201" w:rsidRDefault="00DD475E" w:rsidP="00DD475E">
      <w:pPr>
        <w:rPr>
          <w:i/>
          <w:sz w:val="16"/>
          <w:szCs w:val="16"/>
        </w:rPr>
      </w:pPr>
      <w:r w:rsidRPr="007E3EB0">
        <w:rPr>
          <w:i/>
          <w:sz w:val="16"/>
          <w:szCs w:val="16"/>
        </w:rPr>
        <w:t xml:space="preserve">* Complaints that provided an ‘unsure’ response or did not contain demographic data have been excluded from the analysis shown in </w:t>
      </w:r>
      <w:r>
        <w:rPr>
          <w:i/>
          <w:sz w:val="16"/>
          <w:szCs w:val="16"/>
        </w:rPr>
        <w:t>Figure 29</w:t>
      </w:r>
      <w:r w:rsidRPr="007E3EB0">
        <w:rPr>
          <w:i/>
          <w:sz w:val="16"/>
          <w:szCs w:val="16"/>
        </w:rPr>
        <w:t>.</w:t>
      </w:r>
    </w:p>
    <w:p w14:paraId="4D2FFD2B" w14:textId="77777777" w:rsidR="00DD475E" w:rsidRDefault="00DD475E" w:rsidP="00DD475E">
      <w:pPr>
        <w:rPr>
          <w:i/>
          <w:sz w:val="16"/>
          <w:szCs w:val="16"/>
        </w:rPr>
      </w:pPr>
    </w:p>
    <w:p w14:paraId="451048D7" w14:textId="77777777" w:rsidR="00DD475E" w:rsidRDefault="00DD475E" w:rsidP="00DD475E">
      <w:pPr>
        <w:rPr>
          <w:b/>
        </w:rPr>
      </w:pPr>
    </w:p>
    <w:p w14:paraId="1CC7415D" w14:textId="77777777" w:rsidR="00DD475E" w:rsidRDefault="00DD475E" w:rsidP="00DD475E">
      <w:pPr>
        <w:spacing w:after="200" w:line="276" w:lineRule="auto"/>
      </w:pPr>
    </w:p>
    <w:p w14:paraId="23235DC9" w14:textId="77777777" w:rsidR="00DD475E" w:rsidRDefault="00DD475E" w:rsidP="00DD475E">
      <w:pPr>
        <w:spacing w:after="200" w:line="276" w:lineRule="auto"/>
      </w:pPr>
      <w:r>
        <w:br w:type="page"/>
      </w:r>
    </w:p>
    <w:p w14:paraId="1ED1A90F" w14:textId="77777777" w:rsidR="00DD475E" w:rsidRDefault="00DD475E" w:rsidP="00DD475E">
      <w:pPr>
        <w:rPr>
          <w:b/>
        </w:rPr>
      </w:pPr>
      <w:r>
        <w:rPr>
          <w:b/>
        </w:rPr>
        <w:lastRenderedPageBreak/>
        <w:t xml:space="preserve">Disabilities identified </w:t>
      </w:r>
    </w:p>
    <w:p w14:paraId="6C4F7166" w14:textId="77777777" w:rsidR="00DD475E" w:rsidRPr="00FF483F" w:rsidRDefault="00DD475E" w:rsidP="00DD475E">
      <w:pPr>
        <w:rPr>
          <w:b/>
        </w:rPr>
      </w:pPr>
    </w:p>
    <w:p w14:paraId="3EBE44CD" w14:textId="77777777" w:rsidR="00DD475E" w:rsidRPr="00C51646" w:rsidRDefault="00DD475E" w:rsidP="00DD475E">
      <w:r>
        <w:t>In 2017-18, the majority of complaints closed concerned individuals who had intellectual disabilities (36%), physical disabilities (22%), and/or Autism spectrum disorders (19%). T</w:t>
      </w:r>
      <w:r w:rsidRPr="00620524">
        <w:t xml:space="preserve">he </w:t>
      </w:r>
      <w:r>
        <w:t>disabilities identified</w:t>
      </w:r>
      <w:r w:rsidRPr="00620524">
        <w:t xml:space="preserve"> </w:t>
      </w:r>
      <w:r w:rsidRPr="00C51646">
        <w:t xml:space="preserve">of individuals are shown in </w:t>
      </w:r>
      <w:r>
        <w:t>Figure 30</w:t>
      </w:r>
      <w:r w:rsidRPr="00C51646">
        <w:t>.</w:t>
      </w:r>
    </w:p>
    <w:p w14:paraId="246231C9" w14:textId="77777777" w:rsidR="00DD475E" w:rsidRDefault="00DD475E" w:rsidP="00DD475E"/>
    <w:p w14:paraId="661CA02B" w14:textId="77777777" w:rsidR="00DD475E" w:rsidRDefault="00DD475E" w:rsidP="00DD475E">
      <w:r>
        <w:t xml:space="preserve">Over the past three years, the proportion of complaints concerning individuals with Autism and/or sensory and speech disabilities shows a declining trend, while the proportion of complaints concerning individuals with neurological disabilities shows an increasing trend. </w:t>
      </w:r>
    </w:p>
    <w:p w14:paraId="73397BA4" w14:textId="77777777" w:rsidR="00DD475E" w:rsidRDefault="00DD475E" w:rsidP="00DD475E"/>
    <w:p w14:paraId="7F49439A" w14:textId="77777777" w:rsidR="00DD475E" w:rsidRDefault="00DD475E" w:rsidP="00DD475E">
      <w:r>
        <w:t>Notable year over year changes were seen for the proportion of complaints concerning individuals with physical disabilities (28% in 2016-17 compared to 22% in 2017-18) and/or acquired brain injuries (2% in 2016-17 compared to 9% in 2017-18).</w:t>
      </w:r>
    </w:p>
    <w:p w14:paraId="38B362E8" w14:textId="77777777" w:rsidR="00DD475E" w:rsidRDefault="00DD475E" w:rsidP="00DD475E">
      <w:pPr>
        <w:rPr>
          <w:b/>
        </w:rPr>
      </w:pPr>
    </w:p>
    <w:p w14:paraId="54E630C7" w14:textId="77777777" w:rsidR="00DD475E" w:rsidRPr="000A47C1" w:rsidRDefault="00DD475E" w:rsidP="00DD475E">
      <w:pPr>
        <w:rPr>
          <w:b/>
        </w:rPr>
      </w:pPr>
      <w:r>
        <w:rPr>
          <w:b/>
        </w:rPr>
        <w:t>Figure 30</w:t>
      </w:r>
      <w:r w:rsidRPr="00C51646">
        <w:rPr>
          <w:b/>
        </w:rPr>
        <w:t>: Disabilities</w:t>
      </w:r>
      <w:r>
        <w:rPr>
          <w:b/>
        </w:rPr>
        <w:t xml:space="preserve"> identified </w:t>
      </w:r>
      <w:r w:rsidRPr="008E78AE">
        <w:rPr>
          <w:noProof/>
          <w:lang w:eastAsia="en-AU"/>
        </w:rPr>
        <w:drawing>
          <wp:inline distT="0" distB="0" distL="0" distR="0" wp14:anchorId="6DC231D8" wp14:editId="4DFF2141">
            <wp:extent cx="4850296" cy="4717773"/>
            <wp:effectExtent l="0" t="0" r="26670" b="26035"/>
            <wp:docPr id="346" name="Chart 346"/>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1DEA1B9C" w14:textId="77777777" w:rsidR="00DD475E" w:rsidRDefault="00DD475E" w:rsidP="00DD475E">
      <w:pPr>
        <w:rPr>
          <w:i/>
          <w:sz w:val="16"/>
          <w:szCs w:val="16"/>
        </w:rPr>
      </w:pPr>
    </w:p>
    <w:p w14:paraId="3931F6EE" w14:textId="77777777" w:rsidR="00DD475E" w:rsidRPr="00574DAE" w:rsidRDefault="00DD475E" w:rsidP="00DD475E">
      <w:pPr>
        <w:rPr>
          <w:i/>
          <w:sz w:val="16"/>
          <w:szCs w:val="16"/>
        </w:rPr>
      </w:pPr>
      <w:r w:rsidRPr="00574DAE">
        <w:rPr>
          <w:i/>
          <w:sz w:val="16"/>
          <w:szCs w:val="16"/>
        </w:rPr>
        <w:t xml:space="preserve">Totals may not sum to 100%; a </w:t>
      </w:r>
      <w:r>
        <w:rPr>
          <w:i/>
          <w:sz w:val="16"/>
          <w:szCs w:val="16"/>
        </w:rPr>
        <w:t>consumer may have multiple disabilities</w:t>
      </w:r>
      <w:r w:rsidRPr="00574DAE">
        <w:rPr>
          <w:i/>
          <w:sz w:val="16"/>
          <w:szCs w:val="16"/>
        </w:rPr>
        <w:t>.</w:t>
      </w:r>
    </w:p>
    <w:p w14:paraId="4CDAD856" w14:textId="77777777" w:rsidR="00DD475E" w:rsidRDefault="00DD475E" w:rsidP="00DD475E"/>
    <w:p w14:paraId="02AA26D9" w14:textId="77777777" w:rsidR="00DD475E" w:rsidRDefault="00DD475E" w:rsidP="00DD475E">
      <w:pPr>
        <w:spacing w:after="200" w:line="276" w:lineRule="auto"/>
        <w:rPr>
          <w:b/>
        </w:rPr>
      </w:pPr>
      <w:r>
        <w:rPr>
          <w:b/>
        </w:rPr>
        <w:br w:type="page"/>
      </w:r>
    </w:p>
    <w:p w14:paraId="54A110DF" w14:textId="77777777" w:rsidR="00DD475E" w:rsidRDefault="00DD475E" w:rsidP="00DD475E">
      <w:pPr>
        <w:rPr>
          <w:b/>
        </w:rPr>
      </w:pPr>
      <w:r>
        <w:rPr>
          <w:b/>
        </w:rPr>
        <w:lastRenderedPageBreak/>
        <w:t>National Standards cited in complaints</w:t>
      </w:r>
    </w:p>
    <w:p w14:paraId="42112423" w14:textId="77777777" w:rsidR="00DD475E" w:rsidRPr="00FF483F" w:rsidRDefault="00DD475E" w:rsidP="00DD475E">
      <w:pPr>
        <w:rPr>
          <w:b/>
        </w:rPr>
      </w:pPr>
    </w:p>
    <w:p w14:paraId="26A43D7D" w14:textId="77777777" w:rsidR="00DD475E" w:rsidRPr="006E71A5" w:rsidRDefault="00DD475E" w:rsidP="00DD475E">
      <w:r w:rsidRPr="006E71A5">
        <w:t>The National Standards for Disability Services (National Standards) aim to promote and drive a nationally consistent approach to improving the quality of services. The National Standards focus on rights and outcomes for people with disability.</w:t>
      </w:r>
    </w:p>
    <w:p w14:paraId="05D7B809" w14:textId="77777777" w:rsidR="00DD475E" w:rsidRPr="006E71A5" w:rsidRDefault="00DD475E" w:rsidP="00DD475E"/>
    <w:p w14:paraId="3FBBD9A8" w14:textId="77777777" w:rsidR="00DD475E" w:rsidRDefault="00DD475E" w:rsidP="00DD475E">
      <w:r w:rsidRPr="006E71A5">
        <w:t xml:space="preserve">The Australian Government revised and tested the National Standards in 2012, before </w:t>
      </w:r>
      <w:r>
        <w:t>they were</w:t>
      </w:r>
      <w:r w:rsidRPr="006E71A5">
        <w:t xml:space="preserve"> endorsed</w:t>
      </w:r>
      <w:r w:rsidRPr="00AD5AB4">
        <w:t xml:space="preserve"> </w:t>
      </w:r>
      <w:r w:rsidRPr="006E71A5">
        <w:t>on 18 December 2013 by the Standing Council on Disability Reform ministers from all jurisdictions. People wi</w:t>
      </w:r>
      <w:r>
        <w:t>th disability, family, friends and</w:t>
      </w:r>
      <w:r w:rsidRPr="006E71A5">
        <w:t xml:space="preserve"> carers, service providers, advocacy organisations and quality bodies informed the development of the revised National Standards. There are six National Standards that apply to disability service providers: rights; participation and inclusion; individual outcomes; feedback and complaints; service access; and service management.</w:t>
      </w:r>
    </w:p>
    <w:p w14:paraId="2499D833" w14:textId="77777777" w:rsidR="00DD475E" w:rsidRPr="00C2492F" w:rsidRDefault="00DD475E" w:rsidP="00DD475E"/>
    <w:p w14:paraId="3D07F205" w14:textId="77777777" w:rsidR="00DD475E" w:rsidRDefault="00DD475E" w:rsidP="00DD475E">
      <w:r>
        <w:t xml:space="preserve">For complaints </w:t>
      </w:r>
      <w:r w:rsidRPr="00524B4D">
        <w:t xml:space="preserve">closed by disability service providers in </w:t>
      </w:r>
      <w:r>
        <w:t>2017-18</w:t>
      </w:r>
      <w:r w:rsidRPr="00524B4D">
        <w:t xml:space="preserve">, </w:t>
      </w:r>
      <w:r>
        <w:t>service management (36%), feedback and complaints (28%), and rights (25</w:t>
      </w:r>
      <w:r w:rsidRPr="00524B4D">
        <w:t xml:space="preserve">%) </w:t>
      </w:r>
      <w:r>
        <w:t xml:space="preserve">were the National Standards most commonly cited in complaints (see </w:t>
      </w:r>
      <w:r w:rsidRPr="00C51646">
        <w:t>Figure </w:t>
      </w:r>
      <w:r>
        <w:t>31</w:t>
      </w:r>
      <w:r w:rsidRPr="00C51646">
        <w:t>).</w:t>
      </w:r>
      <w:r>
        <w:t xml:space="preserve"> Compared to 2016-17, the proportion of complaints citing service management; feedback and complaints; individual outcomes; and/or participation and inclusion has declined.</w:t>
      </w:r>
    </w:p>
    <w:p w14:paraId="74DC8D51" w14:textId="77777777" w:rsidR="00DD475E" w:rsidRDefault="00DD475E" w:rsidP="00DD475E">
      <w:pPr>
        <w:rPr>
          <w:b/>
        </w:rPr>
      </w:pPr>
    </w:p>
    <w:p w14:paraId="4C266505" w14:textId="77777777" w:rsidR="00DD475E" w:rsidRDefault="00DD475E" w:rsidP="00DD475E">
      <w:pPr>
        <w:rPr>
          <w:b/>
        </w:rPr>
      </w:pPr>
      <w:r>
        <w:rPr>
          <w:b/>
        </w:rPr>
        <w:t>Figure 31</w:t>
      </w:r>
      <w:r w:rsidRPr="00C51646">
        <w:rPr>
          <w:b/>
        </w:rPr>
        <w:t>:</w:t>
      </w:r>
      <w:r>
        <w:rPr>
          <w:b/>
        </w:rPr>
        <w:t xml:space="preserve"> National Standards cited in complaints</w:t>
      </w:r>
    </w:p>
    <w:p w14:paraId="77FE4FBF" w14:textId="77777777" w:rsidR="00DD475E" w:rsidRDefault="00DD475E" w:rsidP="00DD475E">
      <w:pPr>
        <w:rPr>
          <w:b/>
        </w:rPr>
      </w:pPr>
      <w:r w:rsidRPr="008E78AE">
        <w:rPr>
          <w:noProof/>
          <w:lang w:eastAsia="en-AU"/>
        </w:rPr>
        <w:drawing>
          <wp:inline distT="0" distB="0" distL="0" distR="0" wp14:anchorId="4FABA922" wp14:editId="0784541F">
            <wp:extent cx="5400675" cy="4267200"/>
            <wp:effectExtent l="0" t="0" r="9525" b="19050"/>
            <wp:docPr id="347" name="Chart 34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24657E8" w14:textId="77777777" w:rsidR="00DD475E" w:rsidRDefault="00DD475E" w:rsidP="00DD475E">
      <w:pPr>
        <w:rPr>
          <w:i/>
          <w:sz w:val="16"/>
          <w:szCs w:val="16"/>
        </w:rPr>
      </w:pPr>
    </w:p>
    <w:p w14:paraId="0FA75359" w14:textId="77777777" w:rsidR="00DD475E" w:rsidRPr="00574DAE" w:rsidRDefault="00DD475E" w:rsidP="00DD475E">
      <w:pPr>
        <w:rPr>
          <w:i/>
          <w:sz w:val="16"/>
          <w:szCs w:val="16"/>
        </w:rPr>
      </w:pPr>
      <w:r>
        <w:rPr>
          <w:i/>
          <w:sz w:val="16"/>
          <w:szCs w:val="16"/>
        </w:rPr>
        <w:t>Totals may not sum to 100%; a</w:t>
      </w:r>
      <w:r w:rsidRPr="00574DAE">
        <w:rPr>
          <w:i/>
          <w:sz w:val="16"/>
          <w:szCs w:val="16"/>
        </w:rPr>
        <w:t xml:space="preserve"> complaint </w:t>
      </w:r>
      <w:r>
        <w:rPr>
          <w:i/>
          <w:sz w:val="16"/>
          <w:szCs w:val="16"/>
        </w:rPr>
        <w:t>may cite multiple National Disability Standards.</w:t>
      </w:r>
    </w:p>
    <w:p w14:paraId="21353EBF" w14:textId="77777777" w:rsidR="00DD475E" w:rsidRDefault="00DD475E" w:rsidP="00DD475E">
      <w:pPr>
        <w:rPr>
          <w:b/>
        </w:rPr>
      </w:pPr>
    </w:p>
    <w:p w14:paraId="12B4EED2" w14:textId="77777777" w:rsidR="00DD475E" w:rsidRDefault="00DD475E" w:rsidP="00DD475E">
      <w:pPr>
        <w:spacing w:after="200" w:line="276" w:lineRule="auto"/>
        <w:rPr>
          <w:b/>
        </w:rPr>
      </w:pPr>
      <w:r>
        <w:rPr>
          <w:b/>
        </w:rPr>
        <w:br w:type="page"/>
      </w:r>
    </w:p>
    <w:p w14:paraId="423AA211" w14:textId="77777777" w:rsidR="00DD475E" w:rsidRDefault="00DD475E" w:rsidP="00DD475E">
      <w:pPr>
        <w:rPr>
          <w:b/>
        </w:rPr>
      </w:pPr>
      <w:r>
        <w:rPr>
          <w:b/>
        </w:rPr>
        <w:lastRenderedPageBreak/>
        <w:t xml:space="preserve">Disability service types </w:t>
      </w:r>
    </w:p>
    <w:p w14:paraId="5E682D5B" w14:textId="77777777" w:rsidR="00DD475E" w:rsidRPr="00FF483F" w:rsidRDefault="00DD475E" w:rsidP="00DD475E">
      <w:pPr>
        <w:rPr>
          <w:b/>
        </w:rPr>
      </w:pPr>
    </w:p>
    <w:p w14:paraId="5DA0EB53" w14:textId="77777777" w:rsidR="00DD475E" w:rsidRPr="00C51646" w:rsidRDefault="00DD475E" w:rsidP="00DD475E">
      <w:r>
        <w:t>The specific disability service types identified in closed complaints in the past three years are shown in Figure 32</w:t>
      </w:r>
      <w:r w:rsidRPr="00C51646">
        <w:t>.</w:t>
      </w:r>
    </w:p>
    <w:p w14:paraId="0170C53E" w14:textId="77777777" w:rsidR="00DD475E" w:rsidRPr="00C51646" w:rsidRDefault="00DD475E" w:rsidP="00DD475E"/>
    <w:p w14:paraId="5E4B9930" w14:textId="77777777" w:rsidR="00DD475E" w:rsidRDefault="00DD475E" w:rsidP="00DD475E">
      <w:r>
        <w:t>In 2017-18</w:t>
      </w:r>
      <w:r w:rsidRPr="00C51646">
        <w:t xml:space="preserve">, the majority of complaints about disability services concerned </w:t>
      </w:r>
      <w:r>
        <w:t>accommodation support (38%), community support (32</w:t>
      </w:r>
      <w:r w:rsidRPr="00C51646">
        <w:t xml:space="preserve">%) </w:t>
      </w:r>
      <w:r>
        <w:t>and/</w:t>
      </w:r>
      <w:r w:rsidRPr="00C51646">
        <w:t>or community</w:t>
      </w:r>
      <w:r>
        <w:t xml:space="preserve"> access (27%), which remains generally consistent with prior years</w:t>
      </w:r>
      <w:r w:rsidRPr="00053880">
        <w:t xml:space="preserve"> (as</w:t>
      </w:r>
      <w:r w:rsidRPr="00C51646">
        <w:t xml:space="preserve"> shown in Figure 29).</w:t>
      </w:r>
      <w:r>
        <w:t xml:space="preserve"> </w:t>
      </w:r>
    </w:p>
    <w:p w14:paraId="1540B316" w14:textId="77777777" w:rsidR="00DD475E" w:rsidRDefault="00DD475E" w:rsidP="00DD475E"/>
    <w:p w14:paraId="6E232077" w14:textId="77777777" w:rsidR="00DD475E" w:rsidRDefault="00DD475E" w:rsidP="00DD475E">
      <w:r>
        <w:t>Over the past three years, an increasing trend is seen for the number of complaints concerning community support and/or community access.</w:t>
      </w:r>
    </w:p>
    <w:p w14:paraId="54A16E63" w14:textId="77777777" w:rsidR="00DD475E" w:rsidRDefault="00DD475E" w:rsidP="00DD475E">
      <w:pPr>
        <w:rPr>
          <w:b/>
        </w:rPr>
      </w:pPr>
    </w:p>
    <w:p w14:paraId="5014C13A" w14:textId="77777777" w:rsidR="00DD475E" w:rsidRDefault="00DD475E" w:rsidP="00DD475E">
      <w:pPr>
        <w:rPr>
          <w:b/>
        </w:rPr>
      </w:pPr>
      <w:r>
        <w:rPr>
          <w:b/>
        </w:rPr>
        <w:t>Figure 32</w:t>
      </w:r>
      <w:r w:rsidRPr="00C51646">
        <w:rPr>
          <w:b/>
        </w:rPr>
        <w:t>: Disability</w:t>
      </w:r>
      <w:r>
        <w:rPr>
          <w:b/>
        </w:rPr>
        <w:t xml:space="preserve"> service types</w:t>
      </w:r>
    </w:p>
    <w:p w14:paraId="4745B22D" w14:textId="77777777" w:rsidR="00DD475E" w:rsidRDefault="00DD475E" w:rsidP="00DD475E">
      <w:pPr>
        <w:rPr>
          <w:b/>
        </w:rPr>
      </w:pPr>
      <w:r w:rsidRPr="008E78AE">
        <w:rPr>
          <w:noProof/>
          <w:lang w:eastAsia="en-AU"/>
        </w:rPr>
        <w:drawing>
          <wp:anchor distT="0" distB="0" distL="114300" distR="114300" simplePos="0" relativeHeight="252765184" behindDoc="1" locked="0" layoutInCell="1" allowOverlap="1" wp14:anchorId="7A9BE9C6" wp14:editId="4A6439D4">
            <wp:simplePos x="0" y="0"/>
            <wp:positionH relativeFrom="column">
              <wp:posOffset>0</wp:posOffset>
            </wp:positionH>
            <wp:positionV relativeFrom="paragraph">
              <wp:posOffset>-6460</wp:posOffset>
            </wp:positionV>
            <wp:extent cx="5400675" cy="4181475"/>
            <wp:effectExtent l="0" t="0" r="9525" b="9525"/>
            <wp:wrapNone/>
            <wp:docPr id="348" name="Chart 348"/>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14:sizeRelH relativeFrom="page">
              <wp14:pctWidth>0</wp14:pctWidth>
            </wp14:sizeRelH>
            <wp14:sizeRelV relativeFrom="page">
              <wp14:pctHeight>0</wp14:pctHeight>
            </wp14:sizeRelV>
          </wp:anchor>
        </w:drawing>
      </w:r>
    </w:p>
    <w:p w14:paraId="57D13599" w14:textId="77777777" w:rsidR="00DD475E" w:rsidRDefault="00DD475E" w:rsidP="00DD475E">
      <w:pPr>
        <w:rPr>
          <w:i/>
          <w:sz w:val="16"/>
          <w:szCs w:val="16"/>
        </w:rPr>
      </w:pPr>
    </w:p>
    <w:p w14:paraId="100212D7" w14:textId="77777777" w:rsidR="00DD475E" w:rsidRDefault="00DD475E" w:rsidP="00DD475E">
      <w:pPr>
        <w:rPr>
          <w:i/>
          <w:sz w:val="16"/>
          <w:szCs w:val="16"/>
        </w:rPr>
      </w:pPr>
    </w:p>
    <w:p w14:paraId="3A9976EE" w14:textId="77777777" w:rsidR="00DD475E" w:rsidRDefault="00DD475E" w:rsidP="00DD475E">
      <w:pPr>
        <w:rPr>
          <w:i/>
          <w:sz w:val="16"/>
          <w:szCs w:val="16"/>
        </w:rPr>
      </w:pPr>
    </w:p>
    <w:p w14:paraId="2C746479" w14:textId="77777777" w:rsidR="00DD475E" w:rsidRDefault="00DD475E" w:rsidP="00DD475E">
      <w:pPr>
        <w:rPr>
          <w:i/>
          <w:sz w:val="16"/>
          <w:szCs w:val="16"/>
        </w:rPr>
      </w:pPr>
    </w:p>
    <w:p w14:paraId="083F51E6" w14:textId="77777777" w:rsidR="00DD475E" w:rsidRDefault="00DD475E" w:rsidP="00DD475E">
      <w:pPr>
        <w:rPr>
          <w:i/>
          <w:sz w:val="16"/>
          <w:szCs w:val="16"/>
        </w:rPr>
      </w:pPr>
    </w:p>
    <w:p w14:paraId="0035932A" w14:textId="77777777" w:rsidR="00DD475E" w:rsidRDefault="00DD475E" w:rsidP="00DD475E">
      <w:pPr>
        <w:rPr>
          <w:i/>
          <w:sz w:val="16"/>
          <w:szCs w:val="16"/>
        </w:rPr>
      </w:pPr>
    </w:p>
    <w:p w14:paraId="225B64FD" w14:textId="77777777" w:rsidR="00DD475E" w:rsidRDefault="00DD475E" w:rsidP="00DD475E">
      <w:pPr>
        <w:rPr>
          <w:i/>
          <w:sz w:val="16"/>
          <w:szCs w:val="16"/>
        </w:rPr>
      </w:pPr>
    </w:p>
    <w:p w14:paraId="273DF044" w14:textId="77777777" w:rsidR="00DD475E" w:rsidRDefault="00DD475E" w:rsidP="00DD475E">
      <w:pPr>
        <w:rPr>
          <w:i/>
          <w:sz w:val="16"/>
          <w:szCs w:val="16"/>
        </w:rPr>
      </w:pPr>
    </w:p>
    <w:p w14:paraId="0E3724F7" w14:textId="77777777" w:rsidR="00DD475E" w:rsidRDefault="00DD475E" w:rsidP="00DD475E">
      <w:pPr>
        <w:rPr>
          <w:i/>
          <w:sz w:val="16"/>
          <w:szCs w:val="16"/>
        </w:rPr>
      </w:pPr>
    </w:p>
    <w:p w14:paraId="7491DD69" w14:textId="77777777" w:rsidR="00DD475E" w:rsidRDefault="00DD475E" w:rsidP="00DD475E">
      <w:pPr>
        <w:rPr>
          <w:i/>
          <w:sz w:val="16"/>
          <w:szCs w:val="16"/>
        </w:rPr>
      </w:pPr>
    </w:p>
    <w:p w14:paraId="1AE80281" w14:textId="77777777" w:rsidR="00DD475E" w:rsidRDefault="00DD475E" w:rsidP="00DD475E">
      <w:pPr>
        <w:rPr>
          <w:i/>
          <w:sz w:val="16"/>
          <w:szCs w:val="16"/>
        </w:rPr>
      </w:pPr>
    </w:p>
    <w:p w14:paraId="51B4BDFE" w14:textId="77777777" w:rsidR="00DD475E" w:rsidRDefault="00DD475E" w:rsidP="00DD475E">
      <w:pPr>
        <w:rPr>
          <w:i/>
          <w:sz w:val="16"/>
          <w:szCs w:val="16"/>
        </w:rPr>
      </w:pPr>
    </w:p>
    <w:p w14:paraId="1DE99CC8" w14:textId="77777777" w:rsidR="00DD475E" w:rsidRDefault="00DD475E" w:rsidP="00DD475E">
      <w:pPr>
        <w:rPr>
          <w:i/>
          <w:sz w:val="16"/>
          <w:szCs w:val="16"/>
        </w:rPr>
      </w:pPr>
    </w:p>
    <w:p w14:paraId="26306087" w14:textId="77777777" w:rsidR="00DD475E" w:rsidRDefault="00DD475E" w:rsidP="00DD475E">
      <w:pPr>
        <w:rPr>
          <w:i/>
          <w:sz w:val="16"/>
          <w:szCs w:val="16"/>
        </w:rPr>
      </w:pPr>
    </w:p>
    <w:p w14:paraId="28F3D38A" w14:textId="77777777" w:rsidR="00DD475E" w:rsidRDefault="00DD475E" w:rsidP="00DD475E">
      <w:pPr>
        <w:rPr>
          <w:i/>
          <w:sz w:val="16"/>
          <w:szCs w:val="16"/>
        </w:rPr>
      </w:pPr>
    </w:p>
    <w:p w14:paraId="2D072D53" w14:textId="77777777" w:rsidR="00DD475E" w:rsidRDefault="00DD475E" w:rsidP="00DD475E">
      <w:pPr>
        <w:rPr>
          <w:i/>
          <w:sz w:val="16"/>
          <w:szCs w:val="16"/>
        </w:rPr>
      </w:pPr>
    </w:p>
    <w:p w14:paraId="07629AFA" w14:textId="77777777" w:rsidR="00DD475E" w:rsidRDefault="00DD475E" w:rsidP="00DD475E">
      <w:pPr>
        <w:rPr>
          <w:i/>
          <w:sz w:val="16"/>
          <w:szCs w:val="16"/>
        </w:rPr>
      </w:pPr>
    </w:p>
    <w:p w14:paraId="6CE029C8" w14:textId="77777777" w:rsidR="00DD475E" w:rsidRDefault="00DD475E" w:rsidP="00DD475E">
      <w:pPr>
        <w:rPr>
          <w:i/>
          <w:sz w:val="16"/>
          <w:szCs w:val="16"/>
        </w:rPr>
      </w:pPr>
    </w:p>
    <w:p w14:paraId="6EAFCA00" w14:textId="77777777" w:rsidR="00DD475E" w:rsidRDefault="00DD475E" w:rsidP="00DD475E">
      <w:pPr>
        <w:rPr>
          <w:i/>
          <w:sz w:val="16"/>
          <w:szCs w:val="16"/>
        </w:rPr>
      </w:pPr>
    </w:p>
    <w:p w14:paraId="68E554DD" w14:textId="77777777" w:rsidR="00DD475E" w:rsidRDefault="00DD475E" w:rsidP="00DD475E">
      <w:pPr>
        <w:rPr>
          <w:i/>
          <w:sz w:val="16"/>
          <w:szCs w:val="16"/>
        </w:rPr>
      </w:pPr>
    </w:p>
    <w:p w14:paraId="40F58DA8" w14:textId="77777777" w:rsidR="00DD475E" w:rsidRDefault="00DD475E" w:rsidP="00DD475E">
      <w:pPr>
        <w:rPr>
          <w:i/>
          <w:sz w:val="16"/>
          <w:szCs w:val="16"/>
        </w:rPr>
      </w:pPr>
    </w:p>
    <w:p w14:paraId="27484B09" w14:textId="77777777" w:rsidR="00DD475E" w:rsidRDefault="00DD475E" w:rsidP="00DD475E">
      <w:pPr>
        <w:rPr>
          <w:i/>
          <w:sz w:val="16"/>
          <w:szCs w:val="16"/>
        </w:rPr>
      </w:pPr>
    </w:p>
    <w:p w14:paraId="1B736C6B" w14:textId="77777777" w:rsidR="00DD475E" w:rsidRDefault="00DD475E" w:rsidP="00DD475E">
      <w:pPr>
        <w:rPr>
          <w:i/>
          <w:sz w:val="16"/>
          <w:szCs w:val="16"/>
        </w:rPr>
      </w:pPr>
    </w:p>
    <w:p w14:paraId="3612F7AC" w14:textId="77777777" w:rsidR="00DD475E" w:rsidRDefault="00DD475E" w:rsidP="00DD475E">
      <w:pPr>
        <w:rPr>
          <w:i/>
          <w:sz w:val="16"/>
          <w:szCs w:val="16"/>
        </w:rPr>
      </w:pPr>
    </w:p>
    <w:p w14:paraId="10B4612C" w14:textId="77777777" w:rsidR="00DD475E" w:rsidRDefault="00DD475E" w:rsidP="00DD475E">
      <w:pPr>
        <w:rPr>
          <w:i/>
          <w:sz w:val="16"/>
          <w:szCs w:val="16"/>
        </w:rPr>
      </w:pPr>
    </w:p>
    <w:p w14:paraId="730086BC" w14:textId="77777777" w:rsidR="00DD475E" w:rsidRDefault="00DD475E" w:rsidP="00DD475E">
      <w:pPr>
        <w:rPr>
          <w:i/>
          <w:sz w:val="16"/>
          <w:szCs w:val="16"/>
        </w:rPr>
      </w:pPr>
    </w:p>
    <w:p w14:paraId="763DCB83" w14:textId="77777777" w:rsidR="00DD475E" w:rsidRDefault="00DD475E" w:rsidP="00DD475E">
      <w:pPr>
        <w:rPr>
          <w:i/>
          <w:sz w:val="16"/>
          <w:szCs w:val="16"/>
        </w:rPr>
      </w:pPr>
    </w:p>
    <w:p w14:paraId="3BB54C1D" w14:textId="77777777" w:rsidR="00DD475E" w:rsidRDefault="00DD475E" w:rsidP="00DD475E">
      <w:pPr>
        <w:rPr>
          <w:i/>
          <w:sz w:val="16"/>
          <w:szCs w:val="16"/>
        </w:rPr>
      </w:pPr>
    </w:p>
    <w:p w14:paraId="3535C130" w14:textId="77777777" w:rsidR="00DD475E" w:rsidRDefault="00DD475E" w:rsidP="00DD475E">
      <w:pPr>
        <w:rPr>
          <w:i/>
          <w:sz w:val="16"/>
          <w:szCs w:val="16"/>
        </w:rPr>
      </w:pPr>
    </w:p>
    <w:p w14:paraId="6A41214E" w14:textId="77777777" w:rsidR="00DD475E" w:rsidRDefault="00DD475E" w:rsidP="00DD475E">
      <w:pPr>
        <w:rPr>
          <w:i/>
          <w:sz w:val="16"/>
          <w:szCs w:val="16"/>
        </w:rPr>
      </w:pPr>
    </w:p>
    <w:p w14:paraId="5FA7A97E" w14:textId="77777777" w:rsidR="00DD475E" w:rsidRDefault="00DD475E" w:rsidP="00DD475E">
      <w:pPr>
        <w:rPr>
          <w:i/>
          <w:sz w:val="16"/>
          <w:szCs w:val="16"/>
        </w:rPr>
      </w:pPr>
    </w:p>
    <w:p w14:paraId="3E1E1FCA" w14:textId="77777777" w:rsidR="00DD475E" w:rsidRDefault="00DD475E" w:rsidP="00DD475E">
      <w:pPr>
        <w:rPr>
          <w:i/>
          <w:sz w:val="16"/>
          <w:szCs w:val="16"/>
        </w:rPr>
      </w:pPr>
    </w:p>
    <w:p w14:paraId="24B65A22" w14:textId="77777777" w:rsidR="00DD475E" w:rsidRDefault="00DD475E" w:rsidP="00DD475E">
      <w:pPr>
        <w:rPr>
          <w:i/>
          <w:sz w:val="16"/>
          <w:szCs w:val="16"/>
        </w:rPr>
      </w:pPr>
    </w:p>
    <w:p w14:paraId="02AC845A" w14:textId="77777777" w:rsidR="00DD475E" w:rsidRDefault="00DD475E" w:rsidP="00DD475E">
      <w:pPr>
        <w:rPr>
          <w:i/>
          <w:sz w:val="16"/>
          <w:szCs w:val="16"/>
        </w:rPr>
      </w:pPr>
    </w:p>
    <w:p w14:paraId="2F5E1470" w14:textId="77777777" w:rsidR="00DD475E" w:rsidRDefault="00DD475E" w:rsidP="00DD475E">
      <w:pPr>
        <w:rPr>
          <w:i/>
          <w:sz w:val="16"/>
          <w:szCs w:val="16"/>
        </w:rPr>
      </w:pPr>
    </w:p>
    <w:p w14:paraId="4742D8D1" w14:textId="77777777" w:rsidR="00DD475E" w:rsidRPr="00574DAE" w:rsidRDefault="00DD475E" w:rsidP="00DD475E">
      <w:pPr>
        <w:rPr>
          <w:i/>
          <w:sz w:val="16"/>
          <w:szCs w:val="16"/>
        </w:rPr>
      </w:pPr>
      <w:r>
        <w:rPr>
          <w:i/>
          <w:sz w:val="16"/>
          <w:szCs w:val="16"/>
        </w:rPr>
        <w:br/>
        <w:t>Totals may not sum to 100%; a</w:t>
      </w:r>
      <w:r w:rsidRPr="00574DAE">
        <w:rPr>
          <w:i/>
          <w:sz w:val="16"/>
          <w:szCs w:val="16"/>
        </w:rPr>
        <w:t xml:space="preserve"> complaint </w:t>
      </w:r>
      <w:r>
        <w:rPr>
          <w:i/>
          <w:sz w:val="16"/>
          <w:szCs w:val="16"/>
        </w:rPr>
        <w:t>may identify multiple services.</w:t>
      </w:r>
    </w:p>
    <w:p w14:paraId="6A84A962" w14:textId="77777777" w:rsidR="00DD475E" w:rsidRDefault="00DD475E" w:rsidP="00DD475E">
      <w:pPr>
        <w:spacing w:after="200" w:line="276" w:lineRule="auto"/>
        <w:rPr>
          <w:b/>
        </w:rPr>
      </w:pPr>
    </w:p>
    <w:p w14:paraId="7E62FE2C" w14:textId="77777777" w:rsidR="00DD475E" w:rsidRDefault="00DD475E" w:rsidP="00DD475E">
      <w:pPr>
        <w:spacing w:after="200" w:line="276" w:lineRule="auto"/>
        <w:rPr>
          <w:b/>
        </w:rPr>
      </w:pPr>
      <w:r>
        <w:rPr>
          <w:b/>
        </w:rPr>
        <w:br w:type="page"/>
      </w:r>
    </w:p>
    <w:p w14:paraId="36BDDB91" w14:textId="77777777" w:rsidR="00DD475E" w:rsidRDefault="00DD475E" w:rsidP="00DD475E">
      <w:pPr>
        <w:rPr>
          <w:b/>
        </w:rPr>
      </w:pPr>
      <w:r>
        <w:rPr>
          <w:b/>
        </w:rPr>
        <w:lastRenderedPageBreak/>
        <w:t xml:space="preserve">Issues identified </w:t>
      </w:r>
    </w:p>
    <w:p w14:paraId="2C9D0DA3" w14:textId="77777777" w:rsidR="00DD475E" w:rsidRPr="00FF483F" w:rsidRDefault="00DD475E" w:rsidP="00DD475E">
      <w:pPr>
        <w:rPr>
          <w:b/>
        </w:rPr>
      </w:pPr>
      <w:r>
        <w:rPr>
          <w:b/>
        </w:rPr>
        <w:t xml:space="preserve"> </w:t>
      </w:r>
    </w:p>
    <w:p w14:paraId="2020F664" w14:textId="77777777" w:rsidR="00DD475E" w:rsidRPr="00C51646" w:rsidRDefault="00DD475E" w:rsidP="00DD475E">
      <w:r>
        <w:t>In 2017-18,</w:t>
      </w:r>
      <w:r w:rsidRPr="00F0792A">
        <w:t xml:space="preserve"> </w:t>
      </w:r>
      <w:r>
        <w:t>the most common</w:t>
      </w:r>
      <w:r w:rsidRPr="00F0792A">
        <w:t xml:space="preserve"> </w:t>
      </w:r>
      <w:r>
        <w:t>issue types identified in complaints</w:t>
      </w:r>
      <w:r w:rsidRPr="00F0792A">
        <w:t xml:space="preserve"> </w:t>
      </w:r>
      <w:r>
        <w:t>were</w:t>
      </w:r>
      <w:r w:rsidRPr="00F0792A">
        <w:t xml:space="preserve"> </w:t>
      </w:r>
      <w:r>
        <w:t>staff related issues (52</w:t>
      </w:r>
      <w:r w:rsidRPr="00F0792A">
        <w:t>%)</w:t>
      </w:r>
      <w:r>
        <w:t>,</w:t>
      </w:r>
      <w:r w:rsidRPr="00F0792A">
        <w:t xml:space="preserve"> service</w:t>
      </w:r>
      <w:r>
        <w:t xml:space="preserve"> delivery (51%), and/</w:t>
      </w:r>
      <w:r w:rsidRPr="00F0792A">
        <w:t>or communicatio</w:t>
      </w:r>
      <w:r>
        <w:t xml:space="preserve">n (37%). </w:t>
      </w:r>
      <w:r w:rsidRPr="00F0792A">
        <w:t>While the comparative proportions changed</w:t>
      </w:r>
      <w:r>
        <w:t xml:space="preserve"> over the past three years</w:t>
      </w:r>
      <w:r w:rsidRPr="00F0792A">
        <w:t xml:space="preserve">, the </w:t>
      </w:r>
      <w:r>
        <w:t xml:space="preserve">most common </w:t>
      </w:r>
      <w:r w:rsidRPr="00F0792A">
        <w:t xml:space="preserve">issue </w:t>
      </w:r>
      <w:r>
        <w:t>types remained consistent (as shown in Figure 33</w:t>
      </w:r>
      <w:r w:rsidRPr="00C51646">
        <w:t xml:space="preserve">). </w:t>
      </w:r>
    </w:p>
    <w:p w14:paraId="2B991B71" w14:textId="77777777" w:rsidR="00DD475E" w:rsidRPr="00C51646" w:rsidRDefault="00DD475E" w:rsidP="00DD475E"/>
    <w:p w14:paraId="2BBE91F9" w14:textId="77777777" w:rsidR="00DD475E" w:rsidRPr="000A47C1" w:rsidRDefault="00DD475E" w:rsidP="00DD475E">
      <w:pPr>
        <w:rPr>
          <w:b/>
        </w:rPr>
      </w:pPr>
      <w:r>
        <w:rPr>
          <w:b/>
        </w:rPr>
        <w:t>Figure 33</w:t>
      </w:r>
      <w:r w:rsidRPr="00C51646">
        <w:rPr>
          <w:b/>
        </w:rPr>
        <w:t>: Issue identified</w:t>
      </w:r>
      <w:r>
        <w:rPr>
          <w:b/>
        </w:rPr>
        <w:t xml:space="preserve"> </w:t>
      </w:r>
      <w:r w:rsidRPr="008E78AE">
        <w:rPr>
          <w:noProof/>
          <w:lang w:eastAsia="en-AU"/>
        </w:rPr>
        <w:drawing>
          <wp:inline distT="0" distB="0" distL="0" distR="0" wp14:anchorId="020B5F3F" wp14:editId="0951B694">
            <wp:extent cx="5393635" cy="4280452"/>
            <wp:effectExtent l="0" t="0" r="17145" b="25400"/>
            <wp:docPr id="349" name="Chart 34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8F2C1B7" w14:textId="77777777" w:rsidR="00DD475E" w:rsidRDefault="00DD475E" w:rsidP="00DD475E">
      <w:pPr>
        <w:rPr>
          <w:i/>
          <w:sz w:val="16"/>
          <w:szCs w:val="16"/>
        </w:rPr>
      </w:pPr>
    </w:p>
    <w:p w14:paraId="23FE7587" w14:textId="77777777" w:rsidR="00DD475E" w:rsidRPr="00574DAE" w:rsidRDefault="00DD475E" w:rsidP="00DD475E">
      <w:pPr>
        <w:rPr>
          <w:i/>
          <w:sz w:val="16"/>
          <w:szCs w:val="16"/>
        </w:rPr>
      </w:pPr>
      <w:r>
        <w:rPr>
          <w:i/>
          <w:sz w:val="16"/>
          <w:szCs w:val="16"/>
        </w:rPr>
        <w:t>Totals may not sum to 100%; a</w:t>
      </w:r>
      <w:r w:rsidRPr="00574DAE">
        <w:rPr>
          <w:i/>
          <w:sz w:val="16"/>
          <w:szCs w:val="16"/>
        </w:rPr>
        <w:t xml:space="preserve"> complaint </w:t>
      </w:r>
      <w:r>
        <w:rPr>
          <w:i/>
          <w:sz w:val="16"/>
          <w:szCs w:val="16"/>
        </w:rPr>
        <w:t>may identify multiple issues.</w:t>
      </w:r>
    </w:p>
    <w:p w14:paraId="73EF9308" w14:textId="77777777" w:rsidR="00DD475E" w:rsidRDefault="00DD475E" w:rsidP="00DD475E">
      <w:pPr>
        <w:rPr>
          <w:b/>
        </w:rPr>
      </w:pPr>
    </w:p>
    <w:p w14:paraId="48E895B0" w14:textId="77777777" w:rsidR="00DD475E" w:rsidRDefault="00DD475E" w:rsidP="00DD475E">
      <w:pPr>
        <w:rPr>
          <w:b/>
        </w:rPr>
      </w:pPr>
    </w:p>
    <w:p w14:paraId="1DC35D7A" w14:textId="77777777" w:rsidR="00DD475E" w:rsidRDefault="00DD475E" w:rsidP="00DD475E">
      <w:pPr>
        <w:rPr>
          <w:b/>
        </w:rPr>
      </w:pPr>
    </w:p>
    <w:p w14:paraId="6AE5D14F" w14:textId="77777777" w:rsidR="00DD475E" w:rsidRDefault="00DD475E" w:rsidP="00DD475E">
      <w:pPr>
        <w:rPr>
          <w:b/>
        </w:rPr>
      </w:pPr>
    </w:p>
    <w:p w14:paraId="0D9BA230" w14:textId="77777777" w:rsidR="00DD475E" w:rsidRDefault="00DD475E" w:rsidP="00DD475E">
      <w:pPr>
        <w:rPr>
          <w:b/>
        </w:rPr>
      </w:pPr>
    </w:p>
    <w:p w14:paraId="26A9C0DD" w14:textId="77777777" w:rsidR="00DD475E" w:rsidRDefault="00DD475E" w:rsidP="00DD475E">
      <w:pPr>
        <w:spacing w:after="200" w:line="276" w:lineRule="auto"/>
        <w:rPr>
          <w:b/>
        </w:rPr>
      </w:pPr>
      <w:r>
        <w:rPr>
          <w:b/>
        </w:rPr>
        <w:br w:type="page"/>
      </w:r>
    </w:p>
    <w:p w14:paraId="5958A551" w14:textId="77777777" w:rsidR="00DD475E" w:rsidRDefault="00DD475E" w:rsidP="00DD475E">
      <w:pPr>
        <w:rPr>
          <w:b/>
        </w:rPr>
      </w:pPr>
      <w:r>
        <w:rPr>
          <w:b/>
        </w:rPr>
        <w:lastRenderedPageBreak/>
        <w:t>Time taken to resolve complaints</w:t>
      </w:r>
    </w:p>
    <w:p w14:paraId="38CAF5C2" w14:textId="77777777" w:rsidR="00DD475E" w:rsidRDefault="00DD475E" w:rsidP="00DD475E">
      <w:pPr>
        <w:rPr>
          <w:b/>
        </w:rPr>
      </w:pPr>
    </w:p>
    <w:p w14:paraId="5D42EB71" w14:textId="77777777" w:rsidR="00DD475E" w:rsidRDefault="00DD475E" w:rsidP="00DD475E">
      <w:r>
        <w:t xml:space="preserve">A breakdown of the time </w:t>
      </w:r>
      <w:r w:rsidRPr="00BB36FB">
        <w:t xml:space="preserve">taken to resolve </w:t>
      </w:r>
      <w:r>
        <w:t>complaints is shown in Figure 34</w:t>
      </w:r>
      <w:r w:rsidRPr="00BB36FB">
        <w:t>.</w:t>
      </w:r>
      <w:r>
        <w:t xml:space="preserve"> </w:t>
      </w:r>
    </w:p>
    <w:p w14:paraId="6B4F3154" w14:textId="77777777" w:rsidR="00DD475E" w:rsidRDefault="00DD475E" w:rsidP="00DD475E"/>
    <w:p w14:paraId="58245734" w14:textId="77777777" w:rsidR="00DD475E" w:rsidRPr="00BB36FB" w:rsidRDefault="00DD475E" w:rsidP="00DD475E">
      <w:r>
        <w:t xml:space="preserve">In 2017-18, the </w:t>
      </w:r>
      <w:r w:rsidRPr="00F0792A">
        <w:t xml:space="preserve">majority of complaints </w:t>
      </w:r>
      <w:r>
        <w:t xml:space="preserve">(75%) </w:t>
      </w:r>
      <w:r w:rsidRPr="00F0792A">
        <w:t>were</w:t>
      </w:r>
      <w:r>
        <w:t xml:space="preserve"> resolved in 30 days; this is a notable increase over 2016-17, when 65% of complaints were resolved in 30 days. </w:t>
      </w:r>
    </w:p>
    <w:p w14:paraId="0532511E" w14:textId="77777777" w:rsidR="00DD475E" w:rsidRPr="00BB36FB" w:rsidRDefault="00DD475E" w:rsidP="00DD475E">
      <w:pPr>
        <w:rPr>
          <w:b/>
        </w:rPr>
      </w:pPr>
    </w:p>
    <w:p w14:paraId="765E9C99" w14:textId="77777777" w:rsidR="00DD475E" w:rsidRDefault="00DD475E" w:rsidP="00DD475E">
      <w:pPr>
        <w:rPr>
          <w:b/>
        </w:rPr>
      </w:pPr>
      <w:r>
        <w:rPr>
          <w:b/>
        </w:rPr>
        <w:t>Figure 34</w:t>
      </w:r>
      <w:r w:rsidRPr="00BB36FB">
        <w:rPr>
          <w:b/>
        </w:rPr>
        <w:t>: Time taken</w:t>
      </w:r>
      <w:r>
        <w:rPr>
          <w:b/>
        </w:rPr>
        <w:t xml:space="preserve"> to resolve complaints (days)</w:t>
      </w:r>
    </w:p>
    <w:p w14:paraId="26AA9C55" w14:textId="77777777" w:rsidR="00DD475E" w:rsidRDefault="00DD475E" w:rsidP="00DD475E">
      <w:pPr>
        <w:rPr>
          <w:b/>
        </w:rPr>
      </w:pPr>
      <w:r w:rsidRPr="008E78AE">
        <w:rPr>
          <w:noProof/>
          <w:lang w:eastAsia="en-AU"/>
        </w:rPr>
        <w:drawing>
          <wp:inline distT="0" distB="0" distL="0" distR="0" wp14:anchorId="1ED5F235" wp14:editId="10B9ACB2">
            <wp:extent cx="4038600" cy="4276725"/>
            <wp:effectExtent l="0" t="0" r="19050" b="952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7A3C415E" w14:textId="77777777" w:rsidR="00DD475E" w:rsidRDefault="00DD475E" w:rsidP="00DD475E">
      <w:pPr>
        <w:rPr>
          <w:i/>
          <w:sz w:val="16"/>
          <w:szCs w:val="16"/>
        </w:rPr>
      </w:pPr>
    </w:p>
    <w:p w14:paraId="74A4A0D7" w14:textId="77777777" w:rsidR="00DD475E" w:rsidRPr="00574DAE" w:rsidRDefault="00DD475E" w:rsidP="00DD475E">
      <w:pPr>
        <w:rPr>
          <w:i/>
          <w:sz w:val="16"/>
          <w:szCs w:val="16"/>
        </w:rPr>
      </w:pPr>
      <w:r>
        <w:rPr>
          <w:i/>
          <w:sz w:val="16"/>
          <w:szCs w:val="16"/>
        </w:rPr>
        <w:t>Totals may not sum to 100% due to rounding.</w:t>
      </w:r>
    </w:p>
    <w:p w14:paraId="6ABB554F" w14:textId="77777777" w:rsidR="00DD475E" w:rsidRDefault="00DD475E" w:rsidP="00DD475E">
      <w:pPr>
        <w:rPr>
          <w:b/>
        </w:rPr>
      </w:pPr>
    </w:p>
    <w:p w14:paraId="2FC4A59F" w14:textId="77777777" w:rsidR="00DD475E" w:rsidRDefault="00DD475E" w:rsidP="00DD475E">
      <w:pPr>
        <w:rPr>
          <w:b/>
        </w:rPr>
      </w:pPr>
    </w:p>
    <w:p w14:paraId="26128A26" w14:textId="77777777" w:rsidR="00DD475E" w:rsidRDefault="00DD475E" w:rsidP="00DD475E">
      <w:pPr>
        <w:rPr>
          <w:b/>
        </w:rPr>
      </w:pPr>
    </w:p>
    <w:p w14:paraId="304A8EED" w14:textId="77777777" w:rsidR="00DD475E" w:rsidRDefault="00DD475E" w:rsidP="00DD475E">
      <w:pPr>
        <w:rPr>
          <w:b/>
        </w:rPr>
      </w:pPr>
    </w:p>
    <w:p w14:paraId="3759D9A3" w14:textId="77777777" w:rsidR="00DD475E" w:rsidRDefault="00DD475E" w:rsidP="00DD475E">
      <w:pPr>
        <w:rPr>
          <w:b/>
        </w:rPr>
      </w:pPr>
    </w:p>
    <w:p w14:paraId="0CFF1D42" w14:textId="77777777" w:rsidR="00DD475E" w:rsidRDefault="00DD475E" w:rsidP="00DD475E">
      <w:pPr>
        <w:rPr>
          <w:b/>
        </w:rPr>
      </w:pPr>
    </w:p>
    <w:p w14:paraId="321214B1" w14:textId="77777777" w:rsidR="00DD475E" w:rsidRDefault="00DD475E" w:rsidP="00DD475E">
      <w:pPr>
        <w:rPr>
          <w:b/>
        </w:rPr>
      </w:pPr>
    </w:p>
    <w:p w14:paraId="7AB0881D" w14:textId="77777777" w:rsidR="00DD475E" w:rsidRDefault="00DD475E" w:rsidP="00DD475E">
      <w:pPr>
        <w:rPr>
          <w:b/>
        </w:rPr>
      </w:pPr>
    </w:p>
    <w:p w14:paraId="6162BB1E" w14:textId="77777777" w:rsidR="00DD475E" w:rsidRDefault="00DD475E" w:rsidP="00DD475E">
      <w:pPr>
        <w:rPr>
          <w:b/>
        </w:rPr>
      </w:pPr>
    </w:p>
    <w:p w14:paraId="23B14E09" w14:textId="77777777" w:rsidR="00DD475E" w:rsidRDefault="00DD475E" w:rsidP="00DD475E">
      <w:pPr>
        <w:rPr>
          <w:b/>
        </w:rPr>
      </w:pPr>
    </w:p>
    <w:p w14:paraId="640B6477" w14:textId="77777777" w:rsidR="00DD475E" w:rsidRDefault="00DD475E" w:rsidP="00DD475E">
      <w:pPr>
        <w:spacing w:after="200" w:line="276" w:lineRule="auto"/>
        <w:rPr>
          <w:b/>
        </w:rPr>
      </w:pPr>
      <w:r>
        <w:rPr>
          <w:b/>
        </w:rPr>
        <w:br w:type="page"/>
      </w:r>
    </w:p>
    <w:p w14:paraId="241A2816" w14:textId="77777777" w:rsidR="00DD475E" w:rsidRPr="00235768" w:rsidRDefault="00DD475E" w:rsidP="00DD475E">
      <w:pPr>
        <w:rPr>
          <w:b/>
        </w:rPr>
      </w:pPr>
      <w:r w:rsidRPr="00235768">
        <w:rPr>
          <w:b/>
        </w:rPr>
        <w:lastRenderedPageBreak/>
        <w:t>Outcomes achieved</w:t>
      </w:r>
    </w:p>
    <w:p w14:paraId="1A809B54" w14:textId="77777777" w:rsidR="00DD475E" w:rsidRPr="00235768" w:rsidRDefault="00DD475E" w:rsidP="00DD475E">
      <w:pPr>
        <w:rPr>
          <w:b/>
        </w:rPr>
      </w:pPr>
    </w:p>
    <w:p w14:paraId="52D395FE" w14:textId="77777777" w:rsidR="00DD475E" w:rsidRDefault="00DD475E" w:rsidP="00DD475E">
      <w:r w:rsidRPr="00235768">
        <w:t>A range of outcomes were achieved from the complaints managed by disability service providers</w:t>
      </w:r>
      <w:r>
        <w:t>, including multiple outcomes for some complaints</w:t>
      </w:r>
      <w:r w:rsidRPr="00235768">
        <w:t xml:space="preserve">. </w:t>
      </w:r>
      <w:r>
        <w:t xml:space="preserve">In 2017-18, </w:t>
      </w:r>
      <w:r w:rsidRPr="00235768">
        <w:t>1,</w:t>
      </w:r>
      <w:r>
        <w:t>241</w:t>
      </w:r>
      <w:r w:rsidRPr="00235768">
        <w:t xml:space="preserve"> outcomes were identified from the </w:t>
      </w:r>
      <w:r>
        <w:t>425</w:t>
      </w:r>
      <w:r w:rsidRPr="00235768">
        <w:t xml:space="preserve"> complaints resolved. These outcomes </w:t>
      </w:r>
      <w:r>
        <w:t>were for the individual who accessed the service, for the person that made the complaint</w:t>
      </w:r>
      <w:r w:rsidRPr="00235768">
        <w:t xml:space="preserve">, </w:t>
      </w:r>
      <w:r>
        <w:t>or both</w:t>
      </w:r>
      <w:r w:rsidRPr="00235768">
        <w:t xml:space="preserve">. </w:t>
      </w:r>
    </w:p>
    <w:p w14:paraId="1A2E1F1F" w14:textId="77777777" w:rsidR="00DD475E" w:rsidRDefault="00DD475E" w:rsidP="00DD475E"/>
    <w:p w14:paraId="766CA6AD" w14:textId="6E0A360F" w:rsidR="00DD475E" w:rsidRPr="00BB36FB" w:rsidRDefault="00DD475E" w:rsidP="00DD475E">
      <w:r w:rsidRPr="00235768">
        <w:t xml:space="preserve">The most common outcomes were acknowledgement of </w:t>
      </w:r>
      <w:r>
        <w:t xml:space="preserve">a </w:t>
      </w:r>
      <w:r w:rsidRPr="00235768">
        <w:t>person's views or issues (78%), an explanation or informa</w:t>
      </w:r>
      <w:r>
        <w:t>tion about services provided (48</w:t>
      </w:r>
      <w:r w:rsidRPr="00235768">
        <w:t>%) or an a</w:t>
      </w:r>
      <w:r>
        <w:t>pology from the service</w:t>
      </w:r>
      <w:r w:rsidR="005167DA">
        <w:t xml:space="preserve"> provider</w:t>
      </w:r>
      <w:r>
        <w:t xml:space="preserve"> (48%). </w:t>
      </w:r>
      <w:r w:rsidRPr="00235768">
        <w:t xml:space="preserve">These outcomes were also the most common outcomes </w:t>
      </w:r>
      <w:r w:rsidRPr="00BB36FB">
        <w:t xml:space="preserve">achieved </w:t>
      </w:r>
      <w:r>
        <w:t>in prior years.</w:t>
      </w:r>
    </w:p>
    <w:p w14:paraId="41432073" w14:textId="77777777" w:rsidR="00DD475E" w:rsidRPr="00BB36FB" w:rsidRDefault="00DD475E" w:rsidP="00DD475E"/>
    <w:p w14:paraId="4740C14E" w14:textId="77777777" w:rsidR="00DD475E" w:rsidRDefault="00DD475E" w:rsidP="00DD475E">
      <w:pPr>
        <w:rPr>
          <w:b/>
        </w:rPr>
      </w:pPr>
      <w:r>
        <w:rPr>
          <w:b/>
        </w:rPr>
        <w:t>Table 3</w:t>
      </w:r>
      <w:r w:rsidRPr="00BB36FB">
        <w:rPr>
          <w:b/>
        </w:rPr>
        <w:t>: Outcomes</w:t>
      </w:r>
      <w:r>
        <w:rPr>
          <w:b/>
        </w:rPr>
        <w:t xml:space="preserve"> achieved</w:t>
      </w:r>
    </w:p>
    <w:tbl>
      <w:tblPr>
        <w:tblStyle w:val="WAHealthTable5"/>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272"/>
        <w:gridCol w:w="1191"/>
        <w:gridCol w:w="1191"/>
        <w:gridCol w:w="1191"/>
      </w:tblGrid>
      <w:tr w:rsidR="00DD475E" w:rsidRPr="0004292F" w14:paraId="0758E5B0" w14:textId="77777777" w:rsidTr="00EE6CD7">
        <w:trPr>
          <w:cnfStyle w:val="100000000000" w:firstRow="1" w:lastRow="0" w:firstColumn="0" w:lastColumn="0" w:oddVBand="0" w:evenVBand="0" w:oddHBand="0"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5272" w:type="dxa"/>
            <w:shd w:val="clear" w:color="auto" w:fill="BFBFBF" w:themeFill="background1" w:themeFillShade="BF"/>
            <w:vAlign w:val="center"/>
          </w:tcPr>
          <w:p w14:paraId="1A44ABE6" w14:textId="77777777" w:rsidR="00DD475E" w:rsidRPr="0004292F" w:rsidRDefault="00DD475E" w:rsidP="00EE6CD7">
            <w:pPr>
              <w:rPr>
                <w:color w:val="auto"/>
                <w:sz w:val="20"/>
                <w:szCs w:val="20"/>
              </w:rPr>
            </w:pPr>
            <w:r w:rsidRPr="0004292F">
              <w:rPr>
                <w:color w:val="auto"/>
                <w:sz w:val="20"/>
                <w:szCs w:val="20"/>
              </w:rPr>
              <w:t>Outcome</w:t>
            </w:r>
          </w:p>
        </w:tc>
        <w:tc>
          <w:tcPr>
            <w:tcW w:w="1191" w:type="dxa"/>
            <w:shd w:val="clear" w:color="auto" w:fill="BFBFBF" w:themeFill="background1" w:themeFillShade="BF"/>
            <w:vAlign w:val="center"/>
          </w:tcPr>
          <w:p w14:paraId="578352DF" w14:textId="77777777" w:rsidR="00DD475E" w:rsidRPr="0004292F" w:rsidRDefault="00DD475E" w:rsidP="00EE6CD7">
            <w:pPr>
              <w:jc w:val="center"/>
              <w:cnfStyle w:val="100000000000" w:firstRow="1" w:lastRow="0" w:firstColumn="0" w:lastColumn="0" w:oddVBand="0" w:evenVBand="0" w:oddHBand="0" w:evenHBand="0" w:firstRowFirstColumn="0" w:firstRowLastColumn="0" w:lastRowFirstColumn="0" w:lastRowLastColumn="0"/>
              <w:rPr>
                <w:color w:val="auto"/>
                <w:sz w:val="20"/>
                <w:szCs w:val="20"/>
              </w:rPr>
            </w:pPr>
            <w:r w:rsidRPr="0004292F">
              <w:rPr>
                <w:color w:val="auto"/>
                <w:sz w:val="20"/>
                <w:szCs w:val="20"/>
              </w:rPr>
              <w:t>2015-16</w:t>
            </w:r>
            <w:r w:rsidRPr="0004292F">
              <w:rPr>
                <w:color w:val="auto"/>
                <w:sz w:val="20"/>
                <w:szCs w:val="20"/>
              </w:rPr>
              <w:br/>
              <w:t>(n=371)</w:t>
            </w:r>
          </w:p>
        </w:tc>
        <w:tc>
          <w:tcPr>
            <w:tcW w:w="1191" w:type="dxa"/>
            <w:shd w:val="clear" w:color="auto" w:fill="BFBFBF" w:themeFill="background1" w:themeFillShade="BF"/>
            <w:vAlign w:val="center"/>
          </w:tcPr>
          <w:p w14:paraId="640F1751" w14:textId="77777777" w:rsidR="00DD475E" w:rsidRPr="0004292F" w:rsidRDefault="00DD475E" w:rsidP="00EE6CD7">
            <w:pPr>
              <w:jc w:val="center"/>
              <w:cnfStyle w:val="100000000000" w:firstRow="1" w:lastRow="0" w:firstColumn="0" w:lastColumn="0" w:oddVBand="0" w:evenVBand="0" w:oddHBand="0" w:evenHBand="0" w:firstRowFirstColumn="0" w:firstRowLastColumn="0" w:lastRowFirstColumn="0" w:lastRowLastColumn="0"/>
              <w:rPr>
                <w:color w:val="auto"/>
              </w:rPr>
            </w:pPr>
            <w:r w:rsidRPr="0004292F">
              <w:rPr>
                <w:color w:val="auto"/>
                <w:sz w:val="20"/>
                <w:szCs w:val="20"/>
              </w:rPr>
              <w:t>2016-17</w:t>
            </w:r>
            <w:r w:rsidRPr="0004292F">
              <w:rPr>
                <w:color w:val="auto"/>
                <w:sz w:val="20"/>
                <w:szCs w:val="20"/>
              </w:rPr>
              <w:br/>
              <w:t>(n=461)</w:t>
            </w:r>
          </w:p>
        </w:tc>
        <w:tc>
          <w:tcPr>
            <w:tcW w:w="1191" w:type="dxa"/>
            <w:shd w:val="clear" w:color="auto" w:fill="BFBFBF" w:themeFill="background1" w:themeFillShade="BF"/>
            <w:vAlign w:val="center"/>
          </w:tcPr>
          <w:p w14:paraId="31FE6441" w14:textId="77777777" w:rsidR="00DD475E" w:rsidRPr="0004292F" w:rsidRDefault="00DD475E" w:rsidP="00EE6CD7">
            <w:pPr>
              <w:jc w:val="center"/>
              <w:cnfStyle w:val="100000000000" w:firstRow="1" w:lastRow="0" w:firstColumn="0" w:lastColumn="0" w:oddVBand="0" w:evenVBand="0" w:oddHBand="0" w:evenHBand="0" w:firstRowFirstColumn="0" w:firstRowLastColumn="0" w:lastRowFirstColumn="0" w:lastRowLastColumn="0"/>
              <w:rPr>
                <w:color w:val="auto"/>
              </w:rPr>
            </w:pPr>
            <w:r w:rsidRPr="0004292F">
              <w:rPr>
                <w:color w:val="auto"/>
                <w:sz w:val="20"/>
                <w:szCs w:val="20"/>
              </w:rPr>
              <w:t>2017-18</w:t>
            </w:r>
            <w:r w:rsidRPr="0004292F">
              <w:rPr>
                <w:color w:val="auto"/>
                <w:sz w:val="20"/>
                <w:szCs w:val="20"/>
              </w:rPr>
              <w:br/>
              <w:t>(n=</w:t>
            </w:r>
            <w:r>
              <w:rPr>
                <w:color w:val="auto"/>
                <w:sz w:val="20"/>
                <w:szCs w:val="20"/>
              </w:rPr>
              <w:t>425</w:t>
            </w:r>
            <w:r w:rsidRPr="0004292F">
              <w:rPr>
                <w:color w:val="auto"/>
                <w:sz w:val="20"/>
                <w:szCs w:val="20"/>
              </w:rPr>
              <w:t>)</w:t>
            </w:r>
          </w:p>
        </w:tc>
      </w:tr>
      <w:tr w:rsidR="00DD475E" w:rsidRPr="0004292F" w14:paraId="2DACFF9A" w14:textId="77777777" w:rsidTr="00EE6CD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272" w:type="dxa"/>
            <w:tcBorders>
              <w:top w:val="none" w:sz="0" w:space="0" w:color="auto"/>
              <w:left w:val="none" w:sz="0" w:space="0" w:color="auto"/>
              <w:bottom w:val="none" w:sz="0" w:space="0" w:color="auto"/>
            </w:tcBorders>
            <w:shd w:val="clear" w:color="auto" w:fill="auto"/>
            <w:vAlign w:val="center"/>
          </w:tcPr>
          <w:p w14:paraId="78703CC4" w14:textId="77777777" w:rsidR="00DD475E" w:rsidRPr="0004292F" w:rsidRDefault="00DD475E" w:rsidP="00EE6CD7">
            <w:pPr>
              <w:rPr>
                <w:b w:val="0"/>
                <w:sz w:val="20"/>
                <w:szCs w:val="20"/>
              </w:rPr>
            </w:pPr>
            <w:r w:rsidRPr="0004292F">
              <w:rPr>
                <w:b w:val="0"/>
                <w:sz w:val="20"/>
                <w:szCs w:val="20"/>
              </w:rPr>
              <w:t>Acknowledgement of person's views or issues</w:t>
            </w:r>
          </w:p>
        </w:tc>
        <w:tc>
          <w:tcPr>
            <w:tcW w:w="1191" w:type="dxa"/>
            <w:tcBorders>
              <w:top w:val="none" w:sz="0" w:space="0" w:color="auto"/>
              <w:bottom w:val="none" w:sz="0" w:space="0" w:color="auto"/>
            </w:tcBorders>
            <w:shd w:val="clear" w:color="auto" w:fill="auto"/>
            <w:vAlign w:val="center"/>
          </w:tcPr>
          <w:p w14:paraId="04D83560"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75</w:t>
            </w:r>
            <w:r>
              <w:rPr>
                <w:sz w:val="20"/>
                <w:szCs w:val="20"/>
              </w:rPr>
              <w:t>%</w:t>
            </w:r>
          </w:p>
        </w:tc>
        <w:tc>
          <w:tcPr>
            <w:tcW w:w="1191" w:type="dxa"/>
            <w:tcBorders>
              <w:top w:val="none" w:sz="0" w:space="0" w:color="auto"/>
              <w:bottom w:val="none" w:sz="0" w:space="0" w:color="auto"/>
            </w:tcBorders>
            <w:shd w:val="clear" w:color="auto" w:fill="auto"/>
            <w:vAlign w:val="center"/>
          </w:tcPr>
          <w:p w14:paraId="75845540"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78</w:t>
            </w:r>
            <w:r>
              <w:rPr>
                <w:sz w:val="20"/>
                <w:szCs w:val="20"/>
              </w:rPr>
              <w:t>%</w:t>
            </w:r>
          </w:p>
        </w:tc>
        <w:tc>
          <w:tcPr>
            <w:tcW w:w="1191" w:type="dxa"/>
            <w:tcBorders>
              <w:top w:val="none" w:sz="0" w:space="0" w:color="auto"/>
              <w:bottom w:val="none" w:sz="0" w:space="0" w:color="auto"/>
              <w:right w:val="none" w:sz="0" w:space="0" w:color="auto"/>
            </w:tcBorders>
            <w:shd w:val="clear" w:color="auto" w:fill="auto"/>
            <w:vAlign w:val="center"/>
          </w:tcPr>
          <w:p w14:paraId="70C76CFC"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78%</w:t>
            </w:r>
          </w:p>
        </w:tc>
      </w:tr>
      <w:tr w:rsidR="00DD475E" w:rsidRPr="0004292F" w14:paraId="3CAA0B50" w14:textId="77777777" w:rsidTr="00EE6CD7">
        <w:trPr>
          <w:trHeight w:val="397"/>
        </w:trPr>
        <w:tc>
          <w:tcPr>
            <w:cnfStyle w:val="001000000000" w:firstRow="0" w:lastRow="0" w:firstColumn="1" w:lastColumn="0" w:oddVBand="0" w:evenVBand="0" w:oddHBand="0" w:evenHBand="0" w:firstRowFirstColumn="0" w:firstRowLastColumn="0" w:lastRowFirstColumn="0" w:lastRowLastColumn="0"/>
            <w:tcW w:w="5272" w:type="dxa"/>
            <w:shd w:val="clear" w:color="auto" w:fill="auto"/>
            <w:vAlign w:val="center"/>
          </w:tcPr>
          <w:p w14:paraId="60D67AC1" w14:textId="77777777" w:rsidR="00DD475E" w:rsidRPr="0004292F" w:rsidRDefault="00DD475E" w:rsidP="00EE6CD7">
            <w:pPr>
              <w:rPr>
                <w:b w:val="0"/>
                <w:sz w:val="20"/>
                <w:szCs w:val="20"/>
              </w:rPr>
            </w:pPr>
            <w:r w:rsidRPr="0004292F">
              <w:rPr>
                <w:b w:val="0"/>
                <w:sz w:val="20"/>
                <w:szCs w:val="20"/>
              </w:rPr>
              <w:t>Explanation or information about services provided</w:t>
            </w:r>
          </w:p>
        </w:tc>
        <w:tc>
          <w:tcPr>
            <w:tcW w:w="1191" w:type="dxa"/>
            <w:shd w:val="clear" w:color="auto" w:fill="auto"/>
            <w:vAlign w:val="center"/>
          </w:tcPr>
          <w:p w14:paraId="1F3026B7"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49</w:t>
            </w:r>
            <w:r>
              <w:rPr>
                <w:sz w:val="20"/>
                <w:szCs w:val="20"/>
              </w:rPr>
              <w:t>%</w:t>
            </w:r>
          </w:p>
        </w:tc>
        <w:tc>
          <w:tcPr>
            <w:tcW w:w="1191" w:type="dxa"/>
            <w:shd w:val="clear" w:color="auto" w:fill="auto"/>
            <w:vAlign w:val="center"/>
          </w:tcPr>
          <w:p w14:paraId="154A03D7"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56</w:t>
            </w:r>
            <w:r>
              <w:rPr>
                <w:sz w:val="20"/>
                <w:szCs w:val="20"/>
              </w:rPr>
              <w:t>%</w:t>
            </w:r>
          </w:p>
        </w:tc>
        <w:tc>
          <w:tcPr>
            <w:tcW w:w="1191" w:type="dxa"/>
            <w:shd w:val="clear" w:color="auto" w:fill="auto"/>
            <w:vAlign w:val="center"/>
          </w:tcPr>
          <w:p w14:paraId="5381FBE9"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48%</w:t>
            </w:r>
          </w:p>
        </w:tc>
      </w:tr>
      <w:tr w:rsidR="00DD475E" w:rsidRPr="0004292F" w14:paraId="3ED09684" w14:textId="77777777" w:rsidTr="00EE6CD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272" w:type="dxa"/>
            <w:tcBorders>
              <w:top w:val="none" w:sz="0" w:space="0" w:color="auto"/>
              <w:left w:val="none" w:sz="0" w:space="0" w:color="auto"/>
              <w:bottom w:val="none" w:sz="0" w:space="0" w:color="auto"/>
            </w:tcBorders>
            <w:shd w:val="clear" w:color="auto" w:fill="auto"/>
            <w:vAlign w:val="center"/>
          </w:tcPr>
          <w:p w14:paraId="6280C497" w14:textId="77777777" w:rsidR="00DD475E" w:rsidRPr="0004292F" w:rsidRDefault="00DD475E" w:rsidP="00EE6CD7">
            <w:pPr>
              <w:rPr>
                <w:b w:val="0"/>
                <w:sz w:val="20"/>
                <w:szCs w:val="20"/>
              </w:rPr>
            </w:pPr>
            <w:r w:rsidRPr="0004292F">
              <w:rPr>
                <w:b w:val="0"/>
                <w:sz w:val="20"/>
                <w:szCs w:val="20"/>
              </w:rPr>
              <w:t>Apology from the service</w:t>
            </w:r>
          </w:p>
        </w:tc>
        <w:tc>
          <w:tcPr>
            <w:tcW w:w="1191" w:type="dxa"/>
            <w:tcBorders>
              <w:top w:val="none" w:sz="0" w:space="0" w:color="auto"/>
              <w:bottom w:val="none" w:sz="0" w:space="0" w:color="auto"/>
            </w:tcBorders>
            <w:shd w:val="clear" w:color="auto" w:fill="auto"/>
            <w:vAlign w:val="center"/>
          </w:tcPr>
          <w:p w14:paraId="0102CE78"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39</w:t>
            </w:r>
            <w:r>
              <w:rPr>
                <w:sz w:val="20"/>
                <w:szCs w:val="20"/>
              </w:rPr>
              <w:t>%</w:t>
            </w:r>
          </w:p>
        </w:tc>
        <w:tc>
          <w:tcPr>
            <w:tcW w:w="1191" w:type="dxa"/>
            <w:tcBorders>
              <w:top w:val="none" w:sz="0" w:space="0" w:color="auto"/>
              <w:bottom w:val="none" w:sz="0" w:space="0" w:color="auto"/>
            </w:tcBorders>
            <w:shd w:val="clear" w:color="auto" w:fill="auto"/>
            <w:vAlign w:val="center"/>
          </w:tcPr>
          <w:p w14:paraId="63B77D80"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47</w:t>
            </w:r>
            <w:r>
              <w:rPr>
                <w:sz w:val="20"/>
                <w:szCs w:val="20"/>
              </w:rPr>
              <w:t>%</w:t>
            </w:r>
          </w:p>
        </w:tc>
        <w:tc>
          <w:tcPr>
            <w:tcW w:w="1191" w:type="dxa"/>
            <w:tcBorders>
              <w:top w:val="none" w:sz="0" w:space="0" w:color="auto"/>
              <w:bottom w:val="none" w:sz="0" w:space="0" w:color="auto"/>
              <w:right w:val="none" w:sz="0" w:space="0" w:color="auto"/>
            </w:tcBorders>
            <w:shd w:val="clear" w:color="auto" w:fill="auto"/>
            <w:vAlign w:val="center"/>
          </w:tcPr>
          <w:p w14:paraId="11568247"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48%</w:t>
            </w:r>
          </w:p>
        </w:tc>
      </w:tr>
      <w:tr w:rsidR="00DD475E" w:rsidRPr="0004292F" w14:paraId="3CFD6956" w14:textId="77777777" w:rsidTr="00EE6CD7">
        <w:trPr>
          <w:trHeight w:val="397"/>
        </w:trPr>
        <w:tc>
          <w:tcPr>
            <w:cnfStyle w:val="001000000000" w:firstRow="0" w:lastRow="0" w:firstColumn="1" w:lastColumn="0" w:oddVBand="0" w:evenVBand="0" w:oddHBand="0" w:evenHBand="0" w:firstRowFirstColumn="0" w:firstRowLastColumn="0" w:lastRowFirstColumn="0" w:lastRowLastColumn="0"/>
            <w:tcW w:w="5272" w:type="dxa"/>
            <w:shd w:val="clear" w:color="auto" w:fill="auto"/>
            <w:vAlign w:val="center"/>
          </w:tcPr>
          <w:p w14:paraId="632B0CAF" w14:textId="77777777" w:rsidR="00DD475E" w:rsidRPr="0004292F" w:rsidRDefault="00DD475E" w:rsidP="00EE6CD7">
            <w:pPr>
              <w:rPr>
                <w:b w:val="0"/>
                <w:sz w:val="20"/>
                <w:szCs w:val="20"/>
              </w:rPr>
            </w:pPr>
            <w:r w:rsidRPr="0004292F">
              <w:rPr>
                <w:b w:val="0"/>
                <w:sz w:val="20"/>
                <w:szCs w:val="20"/>
              </w:rPr>
              <w:t>Change or improvement to communication</w:t>
            </w:r>
          </w:p>
        </w:tc>
        <w:tc>
          <w:tcPr>
            <w:tcW w:w="1191" w:type="dxa"/>
            <w:shd w:val="clear" w:color="auto" w:fill="auto"/>
            <w:vAlign w:val="center"/>
          </w:tcPr>
          <w:p w14:paraId="05928166"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30</w:t>
            </w:r>
            <w:r>
              <w:rPr>
                <w:sz w:val="20"/>
                <w:szCs w:val="20"/>
              </w:rPr>
              <w:t>%</w:t>
            </w:r>
          </w:p>
        </w:tc>
        <w:tc>
          <w:tcPr>
            <w:tcW w:w="1191" w:type="dxa"/>
            <w:shd w:val="clear" w:color="auto" w:fill="auto"/>
            <w:vAlign w:val="center"/>
          </w:tcPr>
          <w:p w14:paraId="607AE824"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24</w:t>
            </w:r>
            <w:r>
              <w:rPr>
                <w:sz w:val="20"/>
                <w:szCs w:val="20"/>
              </w:rPr>
              <w:t>%</w:t>
            </w:r>
          </w:p>
        </w:tc>
        <w:tc>
          <w:tcPr>
            <w:tcW w:w="1191" w:type="dxa"/>
            <w:shd w:val="clear" w:color="auto" w:fill="auto"/>
            <w:vAlign w:val="center"/>
          </w:tcPr>
          <w:p w14:paraId="66288EDC"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27%</w:t>
            </w:r>
          </w:p>
        </w:tc>
      </w:tr>
      <w:tr w:rsidR="00DD475E" w:rsidRPr="0004292F" w14:paraId="6615B591" w14:textId="77777777" w:rsidTr="00EE6CD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272" w:type="dxa"/>
            <w:tcBorders>
              <w:top w:val="none" w:sz="0" w:space="0" w:color="auto"/>
              <w:left w:val="none" w:sz="0" w:space="0" w:color="auto"/>
              <w:bottom w:val="none" w:sz="0" w:space="0" w:color="auto"/>
            </w:tcBorders>
            <w:shd w:val="clear" w:color="auto" w:fill="auto"/>
            <w:vAlign w:val="center"/>
          </w:tcPr>
          <w:p w14:paraId="60BED2CB" w14:textId="77777777" w:rsidR="00DD475E" w:rsidRPr="0004292F" w:rsidRDefault="00DD475E" w:rsidP="00EE6CD7">
            <w:pPr>
              <w:rPr>
                <w:b w:val="0"/>
                <w:sz w:val="20"/>
                <w:szCs w:val="20"/>
              </w:rPr>
            </w:pPr>
            <w:r w:rsidRPr="0004292F">
              <w:rPr>
                <w:b w:val="0"/>
                <w:sz w:val="20"/>
                <w:szCs w:val="20"/>
              </w:rPr>
              <w:t>Change or appointment of worker/case manager/coordinator</w:t>
            </w:r>
          </w:p>
        </w:tc>
        <w:tc>
          <w:tcPr>
            <w:tcW w:w="1191" w:type="dxa"/>
            <w:tcBorders>
              <w:top w:val="none" w:sz="0" w:space="0" w:color="auto"/>
              <w:bottom w:val="none" w:sz="0" w:space="0" w:color="auto"/>
            </w:tcBorders>
            <w:shd w:val="clear" w:color="auto" w:fill="auto"/>
            <w:vAlign w:val="center"/>
          </w:tcPr>
          <w:p w14:paraId="13A9ABB0"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24</w:t>
            </w:r>
            <w:r>
              <w:rPr>
                <w:sz w:val="20"/>
                <w:szCs w:val="20"/>
              </w:rPr>
              <w:t>%</w:t>
            </w:r>
          </w:p>
        </w:tc>
        <w:tc>
          <w:tcPr>
            <w:tcW w:w="1191" w:type="dxa"/>
            <w:tcBorders>
              <w:top w:val="none" w:sz="0" w:space="0" w:color="auto"/>
              <w:bottom w:val="none" w:sz="0" w:space="0" w:color="auto"/>
            </w:tcBorders>
            <w:shd w:val="clear" w:color="auto" w:fill="auto"/>
            <w:vAlign w:val="center"/>
          </w:tcPr>
          <w:p w14:paraId="6F2C2EAA"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21</w:t>
            </w:r>
            <w:r>
              <w:rPr>
                <w:sz w:val="20"/>
                <w:szCs w:val="20"/>
              </w:rPr>
              <w:t>%</w:t>
            </w:r>
          </w:p>
        </w:tc>
        <w:tc>
          <w:tcPr>
            <w:tcW w:w="1191" w:type="dxa"/>
            <w:tcBorders>
              <w:top w:val="none" w:sz="0" w:space="0" w:color="auto"/>
              <w:bottom w:val="none" w:sz="0" w:space="0" w:color="auto"/>
              <w:right w:val="none" w:sz="0" w:space="0" w:color="auto"/>
            </w:tcBorders>
            <w:shd w:val="clear" w:color="auto" w:fill="auto"/>
            <w:vAlign w:val="center"/>
          </w:tcPr>
          <w:p w14:paraId="0D0724A6"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22%</w:t>
            </w:r>
          </w:p>
        </w:tc>
      </w:tr>
      <w:tr w:rsidR="00DD475E" w:rsidRPr="0004292F" w14:paraId="220F3FF3" w14:textId="77777777" w:rsidTr="00EE6CD7">
        <w:trPr>
          <w:trHeight w:val="397"/>
        </w:trPr>
        <w:tc>
          <w:tcPr>
            <w:cnfStyle w:val="001000000000" w:firstRow="0" w:lastRow="0" w:firstColumn="1" w:lastColumn="0" w:oddVBand="0" w:evenVBand="0" w:oddHBand="0" w:evenHBand="0" w:firstRowFirstColumn="0" w:firstRowLastColumn="0" w:lastRowFirstColumn="0" w:lastRowLastColumn="0"/>
            <w:tcW w:w="5272" w:type="dxa"/>
            <w:shd w:val="clear" w:color="auto" w:fill="auto"/>
            <w:vAlign w:val="center"/>
          </w:tcPr>
          <w:p w14:paraId="69E35D88" w14:textId="77777777" w:rsidR="00DD475E" w:rsidRPr="0004292F" w:rsidRDefault="00DD475E" w:rsidP="00EE6CD7">
            <w:pPr>
              <w:rPr>
                <w:b w:val="0"/>
                <w:sz w:val="20"/>
                <w:szCs w:val="20"/>
              </w:rPr>
            </w:pPr>
            <w:r w:rsidRPr="0004292F">
              <w:rPr>
                <w:b w:val="0"/>
                <w:sz w:val="20"/>
                <w:szCs w:val="20"/>
              </w:rPr>
              <w:t>Performance management, disciplinary action, feedback or training for workers</w:t>
            </w:r>
          </w:p>
        </w:tc>
        <w:tc>
          <w:tcPr>
            <w:tcW w:w="1191" w:type="dxa"/>
            <w:shd w:val="clear" w:color="auto" w:fill="auto"/>
            <w:vAlign w:val="center"/>
          </w:tcPr>
          <w:p w14:paraId="52880CC9"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18</w:t>
            </w:r>
            <w:r>
              <w:rPr>
                <w:sz w:val="20"/>
                <w:szCs w:val="20"/>
              </w:rPr>
              <w:t>%</w:t>
            </w:r>
          </w:p>
        </w:tc>
        <w:tc>
          <w:tcPr>
            <w:tcW w:w="1191" w:type="dxa"/>
            <w:shd w:val="clear" w:color="auto" w:fill="auto"/>
            <w:vAlign w:val="center"/>
          </w:tcPr>
          <w:p w14:paraId="485F67D1"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13</w:t>
            </w:r>
            <w:r>
              <w:rPr>
                <w:sz w:val="20"/>
                <w:szCs w:val="20"/>
              </w:rPr>
              <w:t>%</w:t>
            </w:r>
          </w:p>
        </w:tc>
        <w:tc>
          <w:tcPr>
            <w:tcW w:w="1191" w:type="dxa"/>
            <w:shd w:val="clear" w:color="auto" w:fill="auto"/>
            <w:vAlign w:val="center"/>
          </w:tcPr>
          <w:p w14:paraId="0F1E8CE1"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18%</w:t>
            </w:r>
          </w:p>
        </w:tc>
      </w:tr>
      <w:tr w:rsidR="00DD475E" w:rsidRPr="0004292F" w14:paraId="0D6FED00" w14:textId="77777777" w:rsidTr="00EE6CD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272" w:type="dxa"/>
            <w:tcBorders>
              <w:top w:val="none" w:sz="0" w:space="0" w:color="auto"/>
              <w:left w:val="none" w:sz="0" w:space="0" w:color="auto"/>
              <w:bottom w:val="none" w:sz="0" w:space="0" w:color="auto"/>
            </w:tcBorders>
            <w:shd w:val="clear" w:color="auto" w:fill="auto"/>
            <w:vAlign w:val="center"/>
          </w:tcPr>
          <w:p w14:paraId="3E150733" w14:textId="77777777" w:rsidR="00DD475E" w:rsidRPr="0004292F" w:rsidRDefault="00DD475E" w:rsidP="00EE6CD7">
            <w:pPr>
              <w:rPr>
                <w:b w:val="0"/>
                <w:sz w:val="20"/>
                <w:szCs w:val="20"/>
              </w:rPr>
            </w:pPr>
            <w:r w:rsidRPr="0004292F">
              <w:rPr>
                <w:b w:val="0"/>
                <w:sz w:val="20"/>
                <w:szCs w:val="20"/>
              </w:rPr>
              <w:t>Change existing support arrangements</w:t>
            </w:r>
          </w:p>
        </w:tc>
        <w:tc>
          <w:tcPr>
            <w:tcW w:w="1191" w:type="dxa"/>
            <w:tcBorders>
              <w:top w:val="none" w:sz="0" w:space="0" w:color="auto"/>
              <w:bottom w:val="none" w:sz="0" w:space="0" w:color="auto"/>
            </w:tcBorders>
            <w:shd w:val="clear" w:color="auto" w:fill="auto"/>
            <w:vAlign w:val="center"/>
          </w:tcPr>
          <w:p w14:paraId="47C1F2AA"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12</w:t>
            </w:r>
            <w:r>
              <w:rPr>
                <w:sz w:val="20"/>
                <w:szCs w:val="20"/>
              </w:rPr>
              <w:t>%</w:t>
            </w:r>
          </w:p>
        </w:tc>
        <w:tc>
          <w:tcPr>
            <w:tcW w:w="1191" w:type="dxa"/>
            <w:tcBorders>
              <w:top w:val="none" w:sz="0" w:space="0" w:color="auto"/>
              <w:bottom w:val="none" w:sz="0" w:space="0" w:color="auto"/>
            </w:tcBorders>
            <w:shd w:val="clear" w:color="auto" w:fill="auto"/>
            <w:vAlign w:val="center"/>
          </w:tcPr>
          <w:p w14:paraId="76873401"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11</w:t>
            </w:r>
            <w:r>
              <w:rPr>
                <w:sz w:val="20"/>
                <w:szCs w:val="20"/>
              </w:rPr>
              <w:t>%</w:t>
            </w:r>
          </w:p>
        </w:tc>
        <w:tc>
          <w:tcPr>
            <w:tcW w:w="1191" w:type="dxa"/>
            <w:tcBorders>
              <w:top w:val="none" w:sz="0" w:space="0" w:color="auto"/>
              <w:bottom w:val="none" w:sz="0" w:space="0" w:color="auto"/>
              <w:right w:val="none" w:sz="0" w:space="0" w:color="auto"/>
            </w:tcBorders>
            <w:shd w:val="clear" w:color="auto" w:fill="auto"/>
            <w:vAlign w:val="center"/>
          </w:tcPr>
          <w:p w14:paraId="3BE2F8CF"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9%</w:t>
            </w:r>
          </w:p>
        </w:tc>
      </w:tr>
      <w:tr w:rsidR="00DD475E" w:rsidRPr="0004292F" w14:paraId="14B3FBE1" w14:textId="77777777" w:rsidTr="00EE6CD7">
        <w:trPr>
          <w:trHeight w:val="397"/>
        </w:trPr>
        <w:tc>
          <w:tcPr>
            <w:cnfStyle w:val="001000000000" w:firstRow="0" w:lastRow="0" w:firstColumn="1" w:lastColumn="0" w:oddVBand="0" w:evenVBand="0" w:oddHBand="0" w:evenHBand="0" w:firstRowFirstColumn="0" w:firstRowLastColumn="0" w:lastRowFirstColumn="0" w:lastRowLastColumn="0"/>
            <w:tcW w:w="5272" w:type="dxa"/>
            <w:shd w:val="clear" w:color="auto" w:fill="auto"/>
            <w:vAlign w:val="center"/>
          </w:tcPr>
          <w:p w14:paraId="19E3DDA3" w14:textId="77777777" w:rsidR="00DD475E" w:rsidRPr="0004292F" w:rsidRDefault="00DD475E" w:rsidP="00EE6CD7">
            <w:pPr>
              <w:rPr>
                <w:b w:val="0"/>
                <w:sz w:val="20"/>
                <w:szCs w:val="20"/>
              </w:rPr>
            </w:pPr>
            <w:r w:rsidRPr="0004292F">
              <w:rPr>
                <w:b w:val="0"/>
                <w:sz w:val="20"/>
                <w:szCs w:val="20"/>
              </w:rPr>
              <w:t>Access to an appropriate service</w:t>
            </w:r>
          </w:p>
        </w:tc>
        <w:tc>
          <w:tcPr>
            <w:tcW w:w="1191" w:type="dxa"/>
            <w:shd w:val="clear" w:color="auto" w:fill="auto"/>
            <w:vAlign w:val="center"/>
          </w:tcPr>
          <w:p w14:paraId="55BA7860"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4</w:t>
            </w:r>
            <w:r>
              <w:rPr>
                <w:sz w:val="20"/>
                <w:szCs w:val="20"/>
              </w:rPr>
              <w:t>%</w:t>
            </w:r>
          </w:p>
        </w:tc>
        <w:tc>
          <w:tcPr>
            <w:tcW w:w="1191" w:type="dxa"/>
            <w:shd w:val="clear" w:color="auto" w:fill="auto"/>
            <w:vAlign w:val="center"/>
          </w:tcPr>
          <w:p w14:paraId="6DA8E39F"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6</w:t>
            </w:r>
            <w:r>
              <w:rPr>
                <w:sz w:val="20"/>
                <w:szCs w:val="20"/>
              </w:rPr>
              <w:t>%</w:t>
            </w:r>
          </w:p>
        </w:tc>
        <w:tc>
          <w:tcPr>
            <w:tcW w:w="1191" w:type="dxa"/>
            <w:shd w:val="clear" w:color="auto" w:fill="auto"/>
            <w:vAlign w:val="center"/>
          </w:tcPr>
          <w:p w14:paraId="0331486C"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w:t>
            </w:r>
          </w:p>
        </w:tc>
      </w:tr>
      <w:tr w:rsidR="00DD475E" w:rsidRPr="0004292F" w14:paraId="3307F646" w14:textId="77777777" w:rsidTr="00EE6CD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272" w:type="dxa"/>
            <w:tcBorders>
              <w:top w:val="none" w:sz="0" w:space="0" w:color="auto"/>
              <w:left w:val="none" w:sz="0" w:space="0" w:color="auto"/>
              <w:bottom w:val="none" w:sz="0" w:space="0" w:color="auto"/>
            </w:tcBorders>
            <w:shd w:val="clear" w:color="auto" w:fill="auto"/>
            <w:vAlign w:val="center"/>
          </w:tcPr>
          <w:p w14:paraId="57D29366" w14:textId="77777777" w:rsidR="00DD475E" w:rsidRPr="0004292F" w:rsidRDefault="00DD475E" w:rsidP="00EE6CD7">
            <w:pPr>
              <w:rPr>
                <w:b w:val="0"/>
                <w:sz w:val="20"/>
                <w:szCs w:val="20"/>
              </w:rPr>
            </w:pPr>
            <w:r w:rsidRPr="0004292F">
              <w:rPr>
                <w:b w:val="0"/>
                <w:sz w:val="20"/>
                <w:szCs w:val="20"/>
              </w:rPr>
              <w:t>Review/improve/implement person's plan</w:t>
            </w:r>
          </w:p>
        </w:tc>
        <w:tc>
          <w:tcPr>
            <w:tcW w:w="1191" w:type="dxa"/>
            <w:tcBorders>
              <w:top w:val="none" w:sz="0" w:space="0" w:color="auto"/>
              <w:bottom w:val="none" w:sz="0" w:space="0" w:color="auto"/>
            </w:tcBorders>
            <w:shd w:val="clear" w:color="auto" w:fill="auto"/>
            <w:vAlign w:val="center"/>
          </w:tcPr>
          <w:p w14:paraId="446D846D"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11</w:t>
            </w:r>
            <w:r>
              <w:rPr>
                <w:sz w:val="20"/>
                <w:szCs w:val="20"/>
              </w:rPr>
              <w:t>%</w:t>
            </w:r>
          </w:p>
        </w:tc>
        <w:tc>
          <w:tcPr>
            <w:tcW w:w="1191" w:type="dxa"/>
            <w:tcBorders>
              <w:top w:val="none" w:sz="0" w:space="0" w:color="auto"/>
              <w:bottom w:val="none" w:sz="0" w:space="0" w:color="auto"/>
            </w:tcBorders>
            <w:shd w:val="clear" w:color="auto" w:fill="auto"/>
            <w:vAlign w:val="center"/>
          </w:tcPr>
          <w:p w14:paraId="387E114E"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7</w:t>
            </w:r>
            <w:r>
              <w:rPr>
                <w:sz w:val="20"/>
                <w:szCs w:val="20"/>
              </w:rPr>
              <w:t>%</w:t>
            </w:r>
          </w:p>
        </w:tc>
        <w:tc>
          <w:tcPr>
            <w:tcW w:w="1191" w:type="dxa"/>
            <w:tcBorders>
              <w:top w:val="none" w:sz="0" w:space="0" w:color="auto"/>
              <w:bottom w:val="none" w:sz="0" w:space="0" w:color="auto"/>
              <w:right w:val="none" w:sz="0" w:space="0" w:color="auto"/>
            </w:tcBorders>
            <w:shd w:val="clear" w:color="auto" w:fill="auto"/>
            <w:vAlign w:val="center"/>
          </w:tcPr>
          <w:p w14:paraId="576AB0A8"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7%</w:t>
            </w:r>
          </w:p>
        </w:tc>
      </w:tr>
      <w:tr w:rsidR="00DD475E" w:rsidRPr="0004292F" w14:paraId="1C672E34" w14:textId="77777777" w:rsidTr="00EE6CD7">
        <w:trPr>
          <w:trHeight w:val="397"/>
        </w:trPr>
        <w:tc>
          <w:tcPr>
            <w:cnfStyle w:val="001000000000" w:firstRow="0" w:lastRow="0" w:firstColumn="1" w:lastColumn="0" w:oddVBand="0" w:evenVBand="0" w:oddHBand="0" w:evenHBand="0" w:firstRowFirstColumn="0" w:firstRowLastColumn="0" w:lastRowFirstColumn="0" w:lastRowLastColumn="0"/>
            <w:tcW w:w="5272" w:type="dxa"/>
            <w:shd w:val="clear" w:color="auto" w:fill="auto"/>
            <w:vAlign w:val="center"/>
          </w:tcPr>
          <w:p w14:paraId="537F9BB8" w14:textId="77777777" w:rsidR="00DD475E" w:rsidRPr="0004292F" w:rsidRDefault="00DD475E" w:rsidP="00EE6CD7">
            <w:pPr>
              <w:rPr>
                <w:b w:val="0"/>
                <w:sz w:val="20"/>
                <w:szCs w:val="20"/>
              </w:rPr>
            </w:pPr>
            <w:r w:rsidRPr="0004292F">
              <w:rPr>
                <w:b w:val="0"/>
                <w:sz w:val="20"/>
                <w:szCs w:val="20"/>
              </w:rPr>
              <w:t>Relocation/transfer to another internal or external service</w:t>
            </w:r>
          </w:p>
        </w:tc>
        <w:tc>
          <w:tcPr>
            <w:tcW w:w="1191" w:type="dxa"/>
            <w:shd w:val="clear" w:color="auto" w:fill="auto"/>
            <w:vAlign w:val="center"/>
          </w:tcPr>
          <w:p w14:paraId="6185B5D6"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5</w:t>
            </w:r>
            <w:r>
              <w:rPr>
                <w:sz w:val="20"/>
                <w:szCs w:val="20"/>
              </w:rPr>
              <w:t>%</w:t>
            </w:r>
          </w:p>
        </w:tc>
        <w:tc>
          <w:tcPr>
            <w:tcW w:w="1191" w:type="dxa"/>
            <w:shd w:val="clear" w:color="auto" w:fill="auto"/>
            <w:vAlign w:val="center"/>
          </w:tcPr>
          <w:p w14:paraId="619DC455"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5</w:t>
            </w:r>
            <w:r>
              <w:rPr>
                <w:sz w:val="20"/>
                <w:szCs w:val="20"/>
              </w:rPr>
              <w:t>%</w:t>
            </w:r>
          </w:p>
        </w:tc>
        <w:tc>
          <w:tcPr>
            <w:tcW w:w="1191" w:type="dxa"/>
            <w:shd w:val="clear" w:color="auto" w:fill="auto"/>
            <w:vAlign w:val="center"/>
          </w:tcPr>
          <w:p w14:paraId="7C81D8CD"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6%</w:t>
            </w:r>
          </w:p>
        </w:tc>
      </w:tr>
      <w:tr w:rsidR="00DD475E" w:rsidRPr="0004292F" w14:paraId="1E0A7141" w14:textId="77777777" w:rsidTr="00EE6CD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272" w:type="dxa"/>
            <w:tcBorders>
              <w:top w:val="none" w:sz="0" w:space="0" w:color="auto"/>
              <w:left w:val="none" w:sz="0" w:space="0" w:color="auto"/>
              <w:bottom w:val="none" w:sz="0" w:space="0" w:color="auto"/>
            </w:tcBorders>
            <w:shd w:val="clear" w:color="auto" w:fill="auto"/>
            <w:vAlign w:val="center"/>
          </w:tcPr>
          <w:p w14:paraId="3D6452CA" w14:textId="77777777" w:rsidR="00DD475E" w:rsidRPr="0004292F" w:rsidRDefault="00DD475E" w:rsidP="00EE6CD7">
            <w:pPr>
              <w:rPr>
                <w:b w:val="0"/>
                <w:sz w:val="20"/>
                <w:szCs w:val="20"/>
              </w:rPr>
            </w:pPr>
            <w:r w:rsidRPr="0004292F">
              <w:rPr>
                <w:b w:val="0"/>
                <w:sz w:val="20"/>
                <w:szCs w:val="20"/>
              </w:rPr>
              <w:t>More choices/options provided to person</w:t>
            </w:r>
          </w:p>
        </w:tc>
        <w:tc>
          <w:tcPr>
            <w:tcW w:w="1191" w:type="dxa"/>
            <w:tcBorders>
              <w:top w:val="none" w:sz="0" w:space="0" w:color="auto"/>
              <w:bottom w:val="none" w:sz="0" w:space="0" w:color="auto"/>
            </w:tcBorders>
            <w:shd w:val="clear" w:color="auto" w:fill="auto"/>
            <w:vAlign w:val="center"/>
          </w:tcPr>
          <w:p w14:paraId="4CC8D750"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5</w:t>
            </w:r>
            <w:r>
              <w:rPr>
                <w:sz w:val="20"/>
                <w:szCs w:val="20"/>
              </w:rPr>
              <w:t>%</w:t>
            </w:r>
          </w:p>
        </w:tc>
        <w:tc>
          <w:tcPr>
            <w:tcW w:w="1191" w:type="dxa"/>
            <w:tcBorders>
              <w:top w:val="none" w:sz="0" w:space="0" w:color="auto"/>
              <w:bottom w:val="none" w:sz="0" w:space="0" w:color="auto"/>
            </w:tcBorders>
            <w:shd w:val="clear" w:color="auto" w:fill="auto"/>
            <w:vAlign w:val="center"/>
          </w:tcPr>
          <w:p w14:paraId="4FF90049"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5</w:t>
            </w:r>
            <w:r>
              <w:rPr>
                <w:sz w:val="20"/>
                <w:szCs w:val="20"/>
              </w:rPr>
              <w:t>%</w:t>
            </w:r>
          </w:p>
        </w:tc>
        <w:tc>
          <w:tcPr>
            <w:tcW w:w="1191" w:type="dxa"/>
            <w:tcBorders>
              <w:top w:val="none" w:sz="0" w:space="0" w:color="auto"/>
              <w:bottom w:val="none" w:sz="0" w:space="0" w:color="auto"/>
              <w:right w:val="none" w:sz="0" w:space="0" w:color="auto"/>
            </w:tcBorders>
            <w:shd w:val="clear" w:color="auto" w:fill="auto"/>
            <w:vAlign w:val="center"/>
          </w:tcPr>
          <w:p w14:paraId="1E8CE3C3"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w:t>
            </w:r>
          </w:p>
        </w:tc>
      </w:tr>
      <w:tr w:rsidR="00DD475E" w:rsidRPr="0004292F" w14:paraId="7A43FF96" w14:textId="77777777" w:rsidTr="00EE6CD7">
        <w:trPr>
          <w:trHeight w:val="397"/>
        </w:trPr>
        <w:tc>
          <w:tcPr>
            <w:cnfStyle w:val="001000000000" w:firstRow="0" w:lastRow="0" w:firstColumn="1" w:lastColumn="0" w:oddVBand="0" w:evenVBand="0" w:oddHBand="0" w:evenHBand="0" w:firstRowFirstColumn="0" w:firstRowLastColumn="0" w:lastRowFirstColumn="0" w:lastRowLastColumn="0"/>
            <w:tcW w:w="5272" w:type="dxa"/>
            <w:shd w:val="clear" w:color="auto" w:fill="auto"/>
            <w:vAlign w:val="center"/>
          </w:tcPr>
          <w:p w14:paraId="11A7940C" w14:textId="77777777" w:rsidR="00DD475E" w:rsidRPr="0004292F" w:rsidRDefault="00DD475E" w:rsidP="00EE6CD7">
            <w:pPr>
              <w:rPr>
                <w:b w:val="0"/>
                <w:sz w:val="20"/>
                <w:szCs w:val="20"/>
              </w:rPr>
            </w:pPr>
            <w:r w:rsidRPr="0004292F">
              <w:rPr>
                <w:b w:val="0"/>
                <w:sz w:val="20"/>
                <w:szCs w:val="20"/>
              </w:rPr>
              <w:t>A change in policies or procedures</w:t>
            </w:r>
          </w:p>
        </w:tc>
        <w:tc>
          <w:tcPr>
            <w:tcW w:w="1191" w:type="dxa"/>
            <w:shd w:val="clear" w:color="auto" w:fill="auto"/>
            <w:vAlign w:val="center"/>
          </w:tcPr>
          <w:p w14:paraId="64E74422"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7</w:t>
            </w:r>
            <w:r>
              <w:rPr>
                <w:sz w:val="20"/>
                <w:szCs w:val="20"/>
              </w:rPr>
              <w:t>%</w:t>
            </w:r>
          </w:p>
        </w:tc>
        <w:tc>
          <w:tcPr>
            <w:tcW w:w="1191" w:type="dxa"/>
            <w:shd w:val="clear" w:color="auto" w:fill="auto"/>
            <w:vAlign w:val="center"/>
          </w:tcPr>
          <w:p w14:paraId="172DB9E6"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4</w:t>
            </w:r>
            <w:r>
              <w:rPr>
                <w:sz w:val="20"/>
                <w:szCs w:val="20"/>
              </w:rPr>
              <w:t>%</w:t>
            </w:r>
          </w:p>
        </w:tc>
        <w:tc>
          <w:tcPr>
            <w:tcW w:w="1191" w:type="dxa"/>
            <w:shd w:val="clear" w:color="auto" w:fill="auto"/>
            <w:vAlign w:val="center"/>
          </w:tcPr>
          <w:p w14:paraId="50417576"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4%</w:t>
            </w:r>
          </w:p>
        </w:tc>
      </w:tr>
      <w:tr w:rsidR="00DD475E" w:rsidRPr="0004292F" w14:paraId="68DEE567" w14:textId="77777777" w:rsidTr="00EE6CD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272" w:type="dxa"/>
            <w:tcBorders>
              <w:top w:val="none" w:sz="0" w:space="0" w:color="auto"/>
              <w:left w:val="none" w:sz="0" w:space="0" w:color="auto"/>
              <w:bottom w:val="none" w:sz="0" w:space="0" w:color="auto"/>
            </w:tcBorders>
            <w:shd w:val="clear" w:color="auto" w:fill="auto"/>
            <w:vAlign w:val="center"/>
          </w:tcPr>
          <w:p w14:paraId="1DB127E3" w14:textId="77777777" w:rsidR="00DD475E" w:rsidRPr="0004292F" w:rsidRDefault="00DD475E" w:rsidP="00EE6CD7">
            <w:pPr>
              <w:rPr>
                <w:b w:val="0"/>
                <w:sz w:val="20"/>
                <w:szCs w:val="20"/>
              </w:rPr>
            </w:pPr>
            <w:r w:rsidRPr="0004292F">
              <w:rPr>
                <w:b w:val="0"/>
                <w:sz w:val="20"/>
                <w:szCs w:val="20"/>
              </w:rPr>
              <w:t>Change or review of decision</w:t>
            </w:r>
          </w:p>
        </w:tc>
        <w:tc>
          <w:tcPr>
            <w:tcW w:w="1191" w:type="dxa"/>
            <w:tcBorders>
              <w:top w:val="none" w:sz="0" w:space="0" w:color="auto"/>
              <w:bottom w:val="none" w:sz="0" w:space="0" w:color="auto"/>
            </w:tcBorders>
            <w:shd w:val="clear" w:color="auto" w:fill="auto"/>
            <w:vAlign w:val="center"/>
          </w:tcPr>
          <w:p w14:paraId="3053F5D3"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4</w:t>
            </w:r>
            <w:r>
              <w:rPr>
                <w:sz w:val="20"/>
                <w:szCs w:val="20"/>
              </w:rPr>
              <w:t>%</w:t>
            </w:r>
          </w:p>
        </w:tc>
        <w:tc>
          <w:tcPr>
            <w:tcW w:w="1191" w:type="dxa"/>
            <w:tcBorders>
              <w:top w:val="none" w:sz="0" w:space="0" w:color="auto"/>
              <w:bottom w:val="none" w:sz="0" w:space="0" w:color="auto"/>
            </w:tcBorders>
            <w:shd w:val="clear" w:color="auto" w:fill="auto"/>
            <w:vAlign w:val="center"/>
          </w:tcPr>
          <w:p w14:paraId="200A68A3"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2</w:t>
            </w:r>
            <w:r>
              <w:rPr>
                <w:sz w:val="20"/>
                <w:szCs w:val="20"/>
              </w:rPr>
              <w:t>%</w:t>
            </w:r>
          </w:p>
        </w:tc>
        <w:tc>
          <w:tcPr>
            <w:tcW w:w="1191" w:type="dxa"/>
            <w:tcBorders>
              <w:top w:val="none" w:sz="0" w:space="0" w:color="auto"/>
              <w:bottom w:val="none" w:sz="0" w:space="0" w:color="auto"/>
              <w:right w:val="none" w:sz="0" w:space="0" w:color="auto"/>
            </w:tcBorders>
            <w:shd w:val="clear" w:color="auto" w:fill="auto"/>
            <w:vAlign w:val="center"/>
          </w:tcPr>
          <w:p w14:paraId="4A5CE58B"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w:t>
            </w:r>
          </w:p>
        </w:tc>
      </w:tr>
      <w:tr w:rsidR="00DD475E" w:rsidRPr="0004292F" w14:paraId="2A85EAEA" w14:textId="77777777" w:rsidTr="00EE6CD7">
        <w:trPr>
          <w:trHeight w:val="397"/>
        </w:trPr>
        <w:tc>
          <w:tcPr>
            <w:cnfStyle w:val="001000000000" w:firstRow="0" w:lastRow="0" w:firstColumn="1" w:lastColumn="0" w:oddVBand="0" w:evenVBand="0" w:oddHBand="0" w:evenHBand="0" w:firstRowFirstColumn="0" w:firstRowLastColumn="0" w:lastRowFirstColumn="0" w:lastRowLastColumn="0"/>
            <w:tcW w:w="5272" w:type="dxa"/>
            <w:shd w:val="clear" w:color="auto" w:fill="auto"/>
            <w:vAlign w:val="center"/>
          </w:tcPr>
          <w:p w14:paraId="4A138D70" w14:textId="77777777" w:rsidR="00DD475E" w:rsidRPr="0004292F" w:rsidRDefault="00DD475E" w:rsidP="00EE6CD7">
            <w:pPr>
              <w:rPr>
                <w:b w:val="0"/>
                <w:sz w:val="20"/>
                <w:szCs w:val="20"/>
              </w:rPr>
            </w:pPr>
            <w:r w:rsidRPr="0004292F">
              <w:rPr>
                <w:b w:val="0"/>
                <w:sz w:val="20"/>
                <w:szCs w:val="20"/>
              </w:rPr>
              <w:t>Re-imbursement/reduction of fees/waiver/compensation</w:t>
            </w:r>
          </w:p>
        </w:tc>
        <w:tc>
          <w:tcPr>
            <w:tcW w:w="1191" w:type="dxa"/>
            <w:shd w:val="clear" w:color="auto" w:fill="auto"/>
            <w:vAlign w:val="center"/>
          </w:tcPr>
          <w:p w14:paraId="6B25E68A"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3</w:t>
            </w:r>
            <w:r>
              <w:rPr>
                <w:sz w:val="20"/>
                <w:szCs w:val="20"/>
              </w:rPr>
              <w:t>%</w:t>
            </w:r>
          </w:p>
        </w:tc>
        <w:tc>
          <w:tcPr>
            <w:tcW w:w="1191" w:type="dxa"/>
            <w:shd w:val="clear" w:color="auto" w:fill="auto"/>
            <w:vAlign w:val="center"/>
          </w:tcPr>
          <w:p w14:paraId="280A28B5"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2</w:t>
            </w:r>
            <w:r>
              <w:rPr>
                <w:sz w:val="20"/>
                <w:szCs w:val="20"/>
              </w:rPr>
              <w:t>%</w:t>
            </w:r>
          </w:p>
        </w:tc>
        <w:tc>
          <w:tcPr>
            <w:tcW w:w="1191" w:type="dxa"/>
            <w:shd w:val="clear" w:color="auto" w:fill="auto"/>
            <w:vAlign w:val="center"/>
          </w:tcPr>
          <w:p w14:paraId="28C862E0"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w:t>
            </w:r>
          </w:p>
        </w:tc>
      </w:tr>
      <w:tr w:rsidR="00DD475E" w:rsidRPr="0004292F" w14:paraId="657250A1" w14:textId="77777777" w:rsidTr="00EE6CD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272" w:type="dxa"/>
            <w:tcBorders>
              <w:top w:val="none" w:sz="0" w:space="0" w:color="auto"/>
              <w:left w:val="none" w:sz="0" w:space="0" w:color="auto"/>
              <w:bottom w:val="none" w:sz="0" w:space="0" w:color="auto"/>
            </w:tcBorders>
            <w:shd w:val="clear" w:color="auto" w:fill="auto"/>
            <w:vAlign w:val="center"/>
          </w:tcPr>
          <w:p w14:paraId="6E91EE0B" w14:textId="77777777" w:rsidR="00DD475E" w:rsidRPr="0004292F" w:rsidRDefault="00DD475E" w:rsidP="00EE6CD7">
            <w:pPr>
              <w:rPr>
                <w:b w:val="0"/>
                <w:sz w:val="20"/>
                <w:szCs w:val="20"/>
              </w:rPr>
            </w:pPr>
            <w:r w:rsidRPr="0004292F">
              <w:rPr>
                <w:b w:val="0"/>
                <w:sz w:val="20"/>
                <w:szCs w:val="20"/>
              </w:rPr>
              <w:t>The person who made a complaint was offered avenues of external appeal or review</w:t>
            </w:r>
          </w:p>
        </w:tc>
        <w:tc>
          <w:tcPr>
            <w:tcW w:w="1191" w:type="dxa"/>
            <w:tcBorders>
              <w:top w:val="none" w:sz="0" w:space="0" w:color="auto"/>
              <w:bottom w:val="none" w:sz="0" w:space="0" w:color="auto"/>
            </w:tcBorders>
            <w:shd w:val="clear" w:color="auto" w:fill="auto"/>
            <w:vAlign w:val="center"/>
          </w:tcPr>
          <w:p w14:paraId="6F66106F"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1</w:t>
            </w:r>
            <w:r>
              <w:rPr>
                <w:sz w:val="20"/>
                <w:szCs w:val="20"/>
              </w:rPr>
              <w:t>%</w:t>
            </w:r>
          </w:p>
        </w:tc>
        <w:tc>
          <w:tcPr>
            <w:tcW w:w="1191" w:type="dxa"/>
            <w:tcBorders>
              <w:top w:val="none" w:sz="0" w:space="0" w:color="auto"/>
              <w:bottom w:val="none" w:sz="0" w:space="0" w:color="auto"/>
            </w:tcBorders>
            <w:shd w:val="clear" w:color="auto" w:fill="auto"/>
            <w:vAlign w:val="center"/>
          </w:tcPr>
          <w:p w14:paraId="39915681"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1</w:t>
            </w:r>
            <w:r>
              <w:rPr>
                <w:sz w:val="20"/>
                <w:szCs w:val="20"/>
              </w:rPr>
              <w:t>%</w:t>
            </w:r>
          </w:p>
        </w:tc>
        <w:tc>
          <w:tcPr>
            <w:tcW w:w="1191" w:type="dxa"/>
            <w:tcBorders>
              <w:top w:val="none" w:sz="0" w:space="0" w:color="auto"/>
              <w:bottom w:val="none" w:sz="0" w:space="0" w:color="auto"/>
              <w:right w:val="none" w:sz="0" w:space="0" w:color="auto"/>
            </w:tcBorders>
            <w:shd w:val="clear" w:color="auto" w:fill="auto"/>
            <w:vAlign w:val="center"/>
          </w:tcPr>
          <w:p w14:paraId="17B06729"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w:t>
            </w:r>
          </w:p>
        </w:tc>
      </w:tr>
      <w:tr w:rsidR="00DD475E" w:rsidRPr="0004292F" w14:paraId="29E45A65" w14:textId="77777777" w:rsidTr="00EE6CD7">
        <w:trPr>
          <w:trHeight w:val="397"/>
        </w:trPr>
        <w:tc>
          <w:tcPr>
            <w:cnfStyle w:val="001000000000" w:firstRow="0" w:lastRow="0" w:firstColumn="1" w:lastColumn="0" w:oddVBand="0" w:evenVBand="0" w:oddHBand="0" w:evenHBand="0" w:firstRowFirstColumn="0" w:firstRowLastColumn="0" w:lastRowFirstColumn="0" w:lastRowLastColumn="0"/>
            <w:tcW w:w="5272" w:type="dxa"/>
            <w:shd w:val="clear" w:color="auto" w:fill="auto"/>
            <w:vAlign w:val="center"/>
          </w:tcPr>
          <w:p w14:paraId="6D8C2E4A" w14:textId="77777777" w:rsidR="00DD475E" w:rsidRPr="0004292F" w:rsidRDefault="00DD475E" w:rsidP="00EE6CD7">
            <w:pPr>
              <w:rPr>
                <w:b w:val="0"/>
                <w:sz w:val="20"/>
                <w:szCs w:val="20"/>
              </w:rPr>
            </w:pPr>
            <w:r w:rsidRPr="0004292F">
              <w:rPr>
                <w:b w:val="0"/>
                <w:sz w:val="20"/>
                <w:szCs w:val="20"/>
              </w:rPr>
              <w:t>Other outcome</w:t>
            </w:r>
          </w:p>
        </w:tc>
        <w:tc>
          <w:tcPr>
            <w:tcW w:w="1191" w:type="dxa"/>
            <w:shd w:val="clear" w:color="auto" w:fill="auto"/>
            <w:vAlign w:val="center"/>
          </w:tcPr>
          <w:p w14:paraId="35D8CC1D"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2</w:t>
            </w:r>
            <w:r>
              <w:rPr>
                <w:sz w:val="20"/>
                <w:szCs w:val="20"/>
              </w:rPr>
              <w:t>%</w:t>
            </w:r>
          </w:p>
        </w:tc>
        <w:tc>
          <w:tcPr>
            <w:tcW w:w="1191" w:type="dxa"/>
            <w:shd w:val="clear" w:color="auto" w:fill="auto"/>
            <w:vAlign w:val="center"/>
          </w:tcPr>
          <w:p w14:paraId="591B3858"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sidRPr="0004292F">
              <w:rPr>
                <w:sz w:val="20"/>
                <w:szCs w:val="20"/>
              </w:rPr>
              <w:t>7</w:t>
            </w:r>
            <w:r>
              <w:rPr>
                <w:sz w:val="20"/>
                <w:szCs w:val="20"/>
              </w:rPr>
              <w:t>%</w:t>
            </w:r>
          </w:p>
        </w:tc>
        <w:tc>
          <w:tcPr>
            <w:tcW w:w="1191" w:type="dxa"/>
            <w:shd w:val="clear" w:color="auto" w:fill="auto"/>
            <w:vAlign w:val="center"/>
          </w:tcPr>
          <w:p w14:paraId="044D7093" w14:textId="77777777" w:rsidR="00DD475E" w:rsidRPr="0004292F" w:rsidRDefault="00DD475E" w:rsidP="00EE6CD7">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w:t>
            </w:r>
          </w:p>
        </w:tc>
      </w:tr>
      <w:tr w:rsidR="00DD475E" w:rsidRPr="0004292F" w14:paraId="725CA3E3" w14:textId="77777777" w:rsidTr="00EE6CD7">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5272" w:type="dxa"/>
            <w:tcBorders>
              <w:top w:val="none" w:sz="0" w:space="0" w:color="auto"/>
              <w:left w:val="none" w:sz="0" w:space="0" w:color="auto"/>
              <w:bottom w:val="none" w:sz="0" w:space="0" w:color="auto"/>
            </w:tcBorders>
            <w:shd w:val="clear" w:color="auto" w:fill="auto"/>
            <w:vAlign w:val="center"/>
          </w:tcPr>
          <w:p w14:paraId="386CA7DD" w14:textId="77777777" w:rsidR="00DD475E" w:rsidRPr="0004292F" w:rsidRDefault="00DD475E" w:rsidP="00EE6CD7">
            <w:pPr>
              <w:rPr>
                <w:b w:val="0"/>
                <w:sz w:val="20"/>
                <w:szCs w:val="20"/>
              </w:rPr>
            </w:pPr>
            <w:r w:rsidRPr="0004292F">
              <w:rPr>
                <w:b w:val="0"/>
                <w:sz w:val="20"/>
                <w:szCs w:val="20"/>
              </w:rPr>
              <w:t>No outcome (yet)</w:t>
            </w:r>
          </w:p>
        </w:tc>
        <w:tc>
          <w:tcPr>
            <w:tcW w:w="1191" w:type="dxa"/>
            <w:tcBorders>
              <w:top w:val="none" w:sz="0" w:space="0" w:color="auto"/>
              <w:bottom w:val="none" w:sz="0" w:space="0" w:color="auto"/>
            </w:tcBorders>
            <w:shd w:val="clear" w:color="auto" w:fill="auto"/>
            <w:vAlign w:val="center"/>
          </w:tcPr>
          <w:p w14:paraId="3B709497"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1</w:t>
            </w:r>
            <w:r>
              <w:rPr>
                <w:sz w:val="20"/>
                <w:szCs w:val="20"/>
              </w:rPr>
              <w:t>%</w:t>
            </w:r>
          </w:p>
        </w:tc>
        <w:tc>
          <w:tcPr>
            <w:tcW w:w="1191" w:type="dxa"/>
            <w:tcBorders>
              <w:top w:val="none" w:sz="0" w:space="0" w:color="auto"/>
              <w:bottom w:val="none" w:sz="0" w:space="0" w:color="auto"/>
            </w:tcBorders>
            <w:shd w:val="clear" w:color="auto" w:fill="auto"/>
            <w:vAlign w:val="center"/>
          </w:tcPr>
          <w:p w14:paraId="69012D62"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sidRPr="0004292F">
              <w:rPr>
                <w:sz w:val="20"/>
                <w:szCs w:val="20"/>
              </w:rPr>
              <w:t>1</w:t>
            </w:r>
            <w:r>
              <w:rPr>
                <w:sz w:val="20"/>
                <w:szCs w:val="20"/>
              </w:rPr>
              <w:t>%</w:t>
            </w:r>
          </w:p>
        </w:tc>
        <w:tc>
          <w:tcPr>
            <w:tcW w:w="1191" w:type="dxa"/>
            <w:tcBorders>
              <w:top w:val="none" w:sz="0" w:space="0" w:color="auto"/>
              <w:bottom w:val="none" w:sz="0" w:space="0" w:color="auto"/>
              <w:right w:val="none" w:sz="0" w:space="0" w:color="auto"/>
            </w:tcBorders>
            <w:shd w:val="clear" w:color="auto" w:fill="auto"/>
            <w:vAlign w:val="center"/>
          </w:tcPr>
          <w:p w14:paraId="6D370235" w14:textId="77777777" w:rsidR="00DD475E" w:rsidRPr="0004292F" w:rsidRDefault="00DD475E" w:rsidP="00EE6CD7">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&lt;1%</w:t>
            </w:r>
          </w:p>
        </w:tc>
      </w:tr>
    </w:tbl>
    <w:p w14:paraId="6708263C" w14:textId="77777777" w:rsidR="00DD475E" w:rsidRDefault="00DD475E" w:rsidP="00DD475E">
      <w:pPr>
        <w:rPr>
          <w:i/>
          <w:sz w:val="16"/>
          <w:szCs w:val="16"/>
        </w:rPr>
      </w:pPr>
    </w:p>
    <w:p w14:paraId="3EAFC5DB" w14:textId="77777777" w:rsidR="00DD475E" w:rsidRDefault="00DD475E" w:rsidP="00DD475E">
      <w:pPr>
        <w:rPr>
          <w:i/>
          <w:sz w:val="16"/>
          <w:szCs w:val="16"/>
        </w:rPr>
      </w:pPr>
      <w:r w:rsidRPr="00355428">
        <w:rPr>
          <w:i/>
          <w:sz w:val="16"/>
          <w:szCs w:val="16"/>
        </w:rPr>
        <w:t>Totals may not sum to 100%; a complaint may result in multiple outcomes.</w:t>
      </w:r>
    </w:p>
    <w:p w14:paraId="0CEAC881" w14:textId="22E66EDD" w:rsidR="00DC588F" w:rsidRDefault="00647D36" w:rsidP="00647D36">
      <w:pPr>
        <w:spacing w:after="200" w:line="276" w:lineRule="auto"/>
      </w:pPr>
      <w:r>
        <w:br w:type="page"/>
      </w:r>
    </w:p>
    <w:p w14:paraId="261AA4F4" w14:textId="77777777" w:rsidR="000A47C1" w:rsidRDefault="000A47C1" w:rsidP="00DC588F">
      <w:pPr>
        <w:rPr>
          <w:i/>
          <w:sz w:val="16"/>
          <w:szCs w:val="16"/>
        </w:rPr>
      </w:pPr>
    </w:p>
    <w:p w14:paraId="72A24B6A" w14:textId="77777777" w:rsidR="00647D36" w:rsidRPr="00DC588F" w:rsidRDefault="00647D36" w:rsidP="00DC588F">
      <w:pPr>
        <w:rPr>
          <w:i/>
          <w:sz w:val="16"/>
          <w:szCs w:val="16"/>
        </w:rPr>
      </w:pPr>
    </w:p>
    <w:bookmarkStart w:id="181" w:name="_Toc492976536"/>
    <w:bookmarkStart w:id="182" w:name="_Toc492976685"/>
    <w:bookmarkStart w:id="183" w:name="_Toc493059373"/>
    <w:bookmarkStart w:id="184" w:name="_Toc493079109"/>
    <w:bookmarkStart w:id="185" w:name="_Toc493080251"/>
    <w:bookmarkStart w:id="186" w:name="_Toc493148073"/>
    <w:bookmarkStart w:id="187" w:name="_Toc493165435"/>
    <w:bookmarkStart w:id="188" w:name="_Toc493506754"/>
    <w:bookmarkStart w:id="189" w:name="_Toc522019630"/>
    <w:bookmarkStart w:id="190" w:name="_Toc522021531"/>
    <w:bookmarkStart w:id="191" w:name="_Toc522026118"/>
    <w:bookmarkStart w:id="192" w:name="_Toc522026459"/>
    <w:bookmarkStart w:id="193" w:name="_Toc522092484"/>
    <w:bookmarkStart w:id="194" w:name="_Toc522092796"/>
    <w:bookmarkStart w:id="195" w:name="_Toc522093219"/>
    <w:bookmarkStart w:id="196" w:name="_Toc522093407"/>
    <w:bookmarkStart w:id="197" w:name="_Toc522093574"/>
    <w:bookmarkStart w:id="198" w:name="_Toc522094801"/>
    <w:bookmarkStart w:id="199" w:name="_Toc492894749"/>
    <w:bookmarkStart w:id="200" w:name="_Toc492895538"/>
    <w:p w14:paraId="3F135CCD" w14:textId="77777777" w:rsidR="00FD4266" w:rsidRDefault="00FD4266" w:rsidP="009B5461">
      <w:pPr>
        <w:pStyle w:val="Heading3"/>
        <w:spacing w:line="240" w:lineRule="auto"/>
        <w:rPr>
          <w:b w:val="0"/>
          <w:color w:val="auto"/>
        </w:rPr>
      </w:pPr>
      <w:r w:rsidRPr="001B10B3">
        <w:rPr>
          <w:noProof/>
          <w:lang w:eastAsia="en-AU"/>
        </w:rPr>
        <mc:AlternateContent>
          <mc:Choice Requires="wps">
            <w:drawing>
              <wp:anchor distT="0" distB="0" distL="114300" distR="114300" simplePos="0" relativeHeight="252395520" behindDoc="0" locked="0" layoutInCell="1" allowOverlap="1" wp14:anchorId="2DEC6EDB" wp14:editId="510ABC62">
                <wp:simplePos x="0" y="0"/>
                <wp:positionH relativeFrom="margin">
                  <wp:posOffset>5715</wp:posOffset>
                </wp:positionH>
                <wp:positionV relativeFrom="margin">
                  <wp:posOffset>-111125</wp:posOffset>
                </wp:positionV>
                <wp:extent cx="5749925" cy="795020"/>
                <wp:effectExtent l="19050" t="19050" r="22225" b="24130"/>
                <wp:wrapSquare wrapText="bothSides"/>
                <wp:docPr id="1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9925" cy="795020"/>
                        </a:xfrm>
                        <a:prstGeom prst="rect">
                          <a:avLst/>
                        </a:prstGeom>
                        <a:solidFill>
                          <a:schemeClr val="bg1">
                            <a:lumMod val="85000"/>
                          </a:schemeClr>
                        </a:solidFill>
                        <a:ln w="38100">
                          <a:solidFill>
                            <a:schemeClr val="bg1">
                              <a:lumMod val="50000"/>
                            </a:schemeClr>
                          </a:solidFill>
                          <a:miter lim="800000"/>
                          <a:headEnd/>
                          <a:tailEnd/>
                        </a:ln>
                      </wps:spPr>
                      <wps:txbx>
                        <w:txbxContent>
                          <w:p w14:paraId="0CCE71FE" w14:textId="77777777" w:rsidR="00A03A05" w:rsidRDefault="00A03A05" w:rsidP="008E1578">
                            <w:bookmarkStart w:id="201" w:name="_Toc492895236"/>
                          </w:p>
                          <w:p w14:paraId="66F7D505" w14:textId="77777777" w:rsidR="00A03A05" w:rsidRDefault="00A03A05" w:rsidP="0041542C">
                            <w:pPr>
                              <w:pStyle w:val="Heading2"/>
                              <w:ind w:left="574"/>
                              <w:jc w:val="center"/>
                            </w:pPr>
                            <w:bookmarkStart w:id="202" w:name="_Toc493506755"/>
                            <w:bookmarkStart w:id="203" w:name="_Toc517701983"/>
                            <w:bookmarkStart w:id="204" w:name="_Toc522094800"/>
                            <w:bookmarkStart w:id="205" w:name="_Toc522103451"/>
                            <w:bookmarkStart w:id="206" w:name="_Toc522276079"/>
                            <w:r w:rsidRPr="0041542C">
                              <w:rPr>
                                <w:color w:val="04356B"/>
                              </w:rPr>
                              <w:t>2.6. Complaints about mental health services</w:t>
                            </w:r>
                            <w:bookmarkEnd w:id="201"/>
                            <w:bookmarkEnd w:id="202"/>
                            <w:bookmarkEnd w:id="203"/>
                            <w:bookmarkEnd w:id="204"/>
                            <w:bookmarkEnd w:id="205"/>
                            <w:bookmarkEnd w:id="206"/>
                          </w:p>
                          <w:p w14:paraId="4CB4000D" w14:textId="77777777" w:rsidR="00A03A05" w:rsidRPr="008E1578" w:rsidRDefault="00A03A05" w:rsidP="008E1578">
                            <w:pPr>
                              <w:pStyle w:val="Heading3"/>
                              <w:spacing w:line="240" w:lineRule="auto"/>
                              <w:rPr>
                                <w:b w:val="0"/>
                                <w:color w:val="auto"/>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090" type="#_x0000_t202" style="position:absolute;margin-left:.45pt;margin-top:-8.75pt;width:452.75pt;height:62.6pt;z-index:2523955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" fillcolor="#d8d8d8 [2732]" strokecolor="#7f7f7f [1612]" strokeweight="3pt">
                <v:textbox>
                  <w:txbxContent>
                    <w:p w14:paraId="0CCE71FE" w14:textId="77777777" w:rsidR="00A03A05" w:rsidRDefault="00A03A05" w:rsidP="008E1578">
                      <w:bookmarkStart w:id="251" w:name="_Toc492895236"/>
                    </w:p>
                    <w:p w14:paraId="66F7D505" w14:textId="77777777" w:rsidR="00A03A05" w:rsidRDefault="00A03A05" w:rsidP="0041542C">
                      <w:pPr>
                        <w:pStyle w:val="Heading2"/>
                        <w:ind w:left="574"/>
                        <w:jc w:val="center"/>
                      </w:pPr>
                      <w:bookmarkStart w:id="252" w:name="_Toc493506755"/>
                      <w:bookmarkStart w:id="253" w:name="_Toc517701983"/>
                      <w:bookmarkStart w:id="254" w:name="_Toc522094800"/>
                      <w:bookmarkStart w:id="255" w:name="_Toc522103451"/>
                      <w:bookmarkStart w:id="256" w:name="_Toc522276079"/>
                      <w:r w:rsidRPr="0041542C">
                        <w:rPr>
                          <w:color w:val="04356B"/>
                        </w:rPr>
                        <w:t>2.6. Complaints about mental health services</w:t>
                      </w:r>
                      <w:bookmarkEnd w:id="251"/>
                      <w:bookmarkEnd w:id="252"/>
                      <w:bookmarkEnd w:id="253"/>
                      <w:bookmarkEnd w:id="254"/>
                      <w:bookmarkEnd w:id="255"/>
                      <w:bookmarkEnd w:id="256"/>
                    </w:p>
                    <w:p w14:paraId="4CB4000D" w14:textId="77777777" w:rsidR="00A03A05" w:rsidRPr="008E1578" w:rsidRDefault="00A03A05" w:rsidP="008E1578">
                      <w:pPr>
                        <w:pStyle w:val="Heading3"/>
                        <w:spacing w:line="240" w:lineRule="auto"/>
                        <w:rPr>
                          <w:b w:val="0"/>
                          <w:color w:val="auto"/>
                        </w:rPr>
                      </w:pPr>
                    </w:p>
                  </w:txbxContent>
                </v:textbox>
                <w10:wrap type="square" anchorx="margin" anchory="margin"/>
              </v:shape>
            </w:pict>
          </mc:Fallback>
        </mc:AlternateConten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67F166A3" w14:textId="77777777" w:rsidR="001B10B3" w:rsidRPr="00916024" w:rsidRDefault="00974C3E" w:rsidP="001B10B3">
      <w:pPr>
        <w:pStyle w:val="Heading3"/>
        <w:rPr>
          <w:color w:val="033349"/>
          <w:sz w:val="28"/>
        </w:rPr>
      </w:pPr>
      <w:bookmarkStart w:id="207" w:name="_Toc493506756"/>
      <w:bookmarkStart w:id="208" w:name="_Toc522094802"/>
      <w:bookmarkEnd w:id="199"/>
      <w:bookmarkEnd w:id="200"/>
      <w:r w:rsidRPr="00917FE9">
        <w:rPr>
          <w:color w:val="033349"/>
          <w:sz w:val="28"/>
        </w:rPr>
        <w:t>HaDSCO complaints data</w:t>
      </w:r>
      <w:bookmarkEnd w:id="207"/>
      <w:bookmarkEnd w:id="208"/>
    </w:p>
    <w:p w14:paraId="32FB5FC5" w14:textId="77777777" w:rsidR="001B10B3" w:rsidRDefault="001B10B3" w:rsidP="008E1578"/>
    <w:p w14:paraId="656613D4" w14:textId="7324D4BD" w:rsidR="00E831C8" w:rsidRDefault="002B0289" w:rsidP="002B0289">
      <w:r>
        <w:t>Figure 36</w:t>
      </w:r>
      <w:r w:rsidRPr="00F23FA8">
        <w:t xml:space="preserve"> details the number of complaints about </w:t>
      </w:r>
      <w:r>
        <w:t>mental health</w:t>
      </w:r>
      <w:r w:rsidRPr="00F23FA8">
        <w:t xml:space="preserve"> services received and closed by HaDSCO </w:t>
      </w:r>
      <w:r>
        <w:t>over the past three years</w:t>
      </w:r>
      <w:r w:rsidRPr="00F23FA8">
        <w:t xml:space="preserve">. </w:t>
      </w:r>
      <w:r w:rsidRPr="00AC4767">
        <w:t xml:space="preserve">HaDSCO received </w:t>
      </w:r>
      <w:r>
        <w:t>349</w:t>
      </w:r>
      <w:r w:rsidRPr="00AC4767">
        <w:t xml:space="preserve"> </w:t>
      </w:r>
      <w:r w:rsidR="00E831C8">
        <w:t>c</w:t>
      </w:r>
      <w:r w:rsidRPr="00AC4767">
        <w:t>omplaints about me</w:t>
      </w:r>
      <w:r>
        <w:t>ntal health services in the 2017-18</w:t>
      </w:r>
      <w:r w:rsidR="00E831C8">
        <w:t xml:space="preserve"> financial year. Although this represents a</w:t>
      </w:r>
      <w:r>
        <w:t xml:space="preserve"> decrease compared to 2016-17</w:t>
      </w:r>
      <w:r w:rsidR="00E831C8">
        <w:t>, the number is reasonably consistent with 2015-16</w:t>
      </w:r>
      <w:r w:rsidRPr="00AC4767">
        <w:t>. HaDSCO closed 3</w:t>
      </w:r>
      <w:r>
        <w:t>61</w:t>
      </w:r>
      <w:r w:rsidRPr="00AC4767">
        <w:t xml:space="preserve"> complaint</w:t>
      </w:r>
      <w:r>
        <w:t>s</w:t>
      </w:r>
      <w:r w:rsidRPr="00AC4767">
        <w:t xml:space="preserve"> abou</w:t>
      </w:r>
      <w:r>
        <w:t xml:space="preserve">t mental health services in </w:t>
      </w:r>
    </w:p>
    <w:p w14:paraId="63F45878" w14:textId="18139E95" w:rsidR="002B0289" w:rsidRDefault="002B0289" w:rsidP="002B0289">
      <w:r>
        <w:t>2017-18</w:t>
      </w:r>
      <w:r w:rsidR="00E831C8">
        <w:t>.</w:t>
      </w:r>
      <w:r>
        <w:t xml:space="preserve"> </w:t>
      </w:r>
    </w:p>
    <w:p w14:paraId="0C81F9EB" w14:textId="77777777" w:rsidR="00E831C8" w:rsidRDefault="00E831C8" w:rsidP="002B0289"/>
    <w:p w14:paraId="12E7D42B" w14:textId="5C5E5604" w:rsidR="002B0289" w:rsidRDefault="002B0289" w:rsidP="002B0289">
      <w:pPr>
        <w:pStyle w:val="Normal-L3"/>
        <w:spacing w:line="276" w:lineRule="auto"/>
        <w:rPr>
          <w:rFonts w:eastAsiaTheme="majorEastAsia" w:cstheme="majorBidi"/>
          <w:b/>
          <w:bCs/>
          <w:color w:val="000000" w:themeColor="text1"/>
          <w:szCs w:val="24"/>
        </w:rPr>
      </w:pPr>
      <w:r w:rsidRPr="00BB36FB">
        <w:rPr>
          <w:rFonts w:eastAsiaTheme="majorEastAsia" w:cstheme="majorBidi"/>
          <w:b/>
          <w:bCs/>
          <w:color w:val="000000" w:themeColor="text1"/>
          <w:szCs w:val="24"/>
        </w:rPr>
        <w:t xml:space="preserve">Figure </w:t>
      </w:r>
      <w:r>
        <w:rPr>
          <w:rFonts w:eastAsiaTheme="majorEastAsia" w:cstheme="majorBidi"/>
          <w:b/>
          <w:bCs/>
          <w:color w:val="000000" w:themeColor="text1"/>
          <w:szCs w:val="24"/>
        </w:rPr>
        <w:t>36</w:t>
      </w:r>
      <w:r w:rsidRPr="00BB36FB">
        <w:rPr>
          <w:rFonts w:eastAsiaTheme="majorEastAsia" w:cstheme="majorBidi"/>
          <w:b/>
          <w:bCs/>
          <w:color w:val="000000" w:themeColor="text1"/>
          <w:szCs w:val="24"/>
        </w:rPr>
        <w:t>: Complaints</w:t>
      </w:r>
      <w:r>
        <w:rPr>
          <w:rFonts w:eastAsiaTheme="majorEastAsia" w:cstheme="majorBidi"/>
          <w:b/>
          <w:bCs/>
          <w:color w:val="000000" w:themeColor="text1"/>
          <w:szCs w:val="24"/>
        </w:rPr>
        <w:t xml:space="preserve"> about mental health services </w:t>
      </w:r>
    </w:p>
    <w:p w14:paraId="62C33708" w14:textId="77777777" w:rsidR="002B0289" w:rsidRDefault="002B0289" w:rsidP="002B0289">
      <w:pPr>
        <w:pStyle w:val="Normal-L3"/>
        <w:spacing w:line="276" w:lineRule="auto"/>
        <w:rPr>
          <w:rFonts w:eastAsiaTheme="majorEastAsia" w:cstheme="majorBidi"/>
          <w:b/>
          <w:bCs/>
          <w:color w:val="000000" w:themeColor="text1"/>
          <w:szCs w:val="24"/>
        </w:rPr>
      </w:pPr>
      <w:r>
        <w:rPr>
          <w:rFonts w:eastAsiaTheme="majorEastAsia" w:cstheme="majorBidi"/>
          <w:b/>
          <w:bCs/>
          <w:noProof/>
          <w:color w:val="000000" w:themeColor="text1"/>
          <w:szCs w:val="24"/>
          <w:lang w:eastAsia="en-AU"/>
        </w:rPr>
        <w:drawing>
          <wp:inline distT="0" distB="0" distL="0" distR="0" wp14:anchorId="22DF08EE" wp14:editId="61664F60">
            <wp:extent cx="5220000" cy="3204000"/>
            <wp:effectExtent l="0" t="0" r="19050" b="15875"/>
            <wp:docPr id="314" name="Chart 3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6231DB2" w14:textId="77777777" w:rsidR="002B0289" w:rsidRDefault="002B0289" w:rsidP="002B0289">
      <w:pPr>
        <w:spacing w:after="200"/>
      </w:pPr>
    </w:p>
    <w:p w14:paraId="3C37362B" w14:textId="77777777" w:rsidR="002B0289" w:rsidRDefault="002B0289" w:rsidP="002B0289">
      <w:pPr>
        <w:spacing w:after="200"/>
      </w:pPr>
      <w:r>
        <w:t xml:space="preserve">The following section provides a more detailed breakdown of the complaints about health services closed by HaDSCO over the past three financial years. </w:t>
      </w:r>
    </w:p>
    <w:p w14:paraId="2D25D6E1" w14:textId="77777777" w:rsidR="002B0289" w:rsidRDefault="002B0289" w:rsidP="002B0289">
      <w:pPr>
        <w:spacing w:after="200"/>
      </w:pPr>
      <w:r>
        <w:br w:type="page"/>
      </w:r>
    </w:p>
    <w:p w14:paraId="1FB1459D" w14:textId="77777777" w:rsidR="002B0289" w:rsidRDefault="002B0289" w:rsidP="002B0289">
      <w:pPr>
        <w:rPr>
          <w:b/>
        </w:rPr>
      </w:pPr>
      <w:r>
        <w:rPr>
          <w:b/>
        </w:rPr>
        <w:lastRenderedPageBreak/>
        <w:t xml:space="preserve">Individual making the complaint </w:t>
      </w:r>
    </w:p>
    <w:p w14:paraId="6EC863A3" w14:textId="77777777" w:rsidR="002B0289" w:rsidRPr="00C94DA2" w:rsidRDefault="002B0289" w:rsidP="002B0289">
      <w:pPr>
        <w:rPr>
          <w:b/>
        </w:rPr>
      </w:pPr>
    </w:p>
    <w:p w14:paraId="18A3489F" w14:textId="08EE5106" w:rsidR="002B0289" w:rsidRPr="001B10B3" w:rsidRDefault="002B0289" w:rsidP="002B0289">
      <w:pPr>
        <w:pStyle w:val="Normal-L3"/>
        <w:rPr>
          <w:rFonts w:eastAsiaTheme="majorEastAsia" w:cstheme="majorBidi"/>
          <w:bCs/>
          <w:color w:val="000000" w:themeColor="text1"/>
          <w:szCs w:val="24"/>
        </w:rPr>
      </w:pPr>
      <w:r>
        <w:rPr>
          <w:rFonts w:eastAsiaTheme="majorEastAsia" w:cstheme="majorBidi"/>
          <w:bCs/>
          <w:color w:val="000000" w:themeColor="text1"/>
          <w:szCs w:val="24"/>
        </w:rPr>
        <w:t xml:space="preserve">Most complaints (73%) about a mental health service were made by the individual who </w:t>
      </w:r>
      <w:r w:rsidRPr="00BB36FB">
        <w:rPr>
          <w:rFonts w:eastAsiaTheme="majorEastAsia" w:cstheme="majorBidi"/>
          <w:bCs/>
          <w:color w:val="000000" w:themeColor="text1"/>
          <w:szCs w:val="24"/>
        </w:rPr>
        <w:t xml:space="preserve">received the service. The remaining complaints were made by a representative on behalf of the individual, which was typically a family member (as seen in </w:t>
      </w:r>
      <w:r>
        <w:rPr>
          <w:rFonts w:eastAsiaTheme="majorEastAsia" w:cstheme="majorBidi"/>
          <w:bCs/>
          <w:color w:val="000000" w:themeColor="text1"/>
          <w:szCs w:val="24"/>
        </w:rPr>
        <w:t>Figure 37</w:t>
      </w:r>
      <w:r w:rsidRPr="00BB36FB">
        <w:rPr>
          <w:rFonts w:eastAsiaTheme="majorEastAsia" w:cstheme="majorBidi"/>
          <w:bCs/>
          <w:color w:val="000000" w:themeColor="text1"/>
          <w:szCs w:val="24"/>
        </w:rPr>
        <w:t xml:space="preserve">). </w:t>
      </w:r>
      <w:r w:rsidRPr="00BB36FB">
        <w:t>In comparison</w:t>
      </w:r>
      <w:r w:rsidRPr="00DC588F">
        <w:t xml:space="preserve"> to </w:t>
      </w:r>
      <w:r>
        <w:t>prior years</w:t>
      </w:r>
      <w:r w:rsidRPr="00DC588F">
        <w:t>, there has been l</w:t>
      </w:r>
      <w:r>
        <w:t>ittle change in terms of who made</w:t>
      </w:r>
      <w:r w:rsidRPr="00DC588F">
        <w:t xml:space="preserve"> a complaint about a mental health service with our Office.</w:t>
      </w:r>
    </w:p>
    <w:p w14:paraId="4B25BE86" w14:textId="77777777" w:rsidR="002B0289" w:rsidRDefault="002B0289" w:rsidP="002B0289">
      <w:pPr>
        <w:pStyle w:val="Normal-L3"/>
        <w:spacing w:line="276" w:lineRule="auto"/>
        <w:rPr>
          <w:rFonts w:eastAsiaTheme="majorEastAsia" w:cstheme="majorBidi"/>
          <w:b/>
          <w:bCs/>
          <w:color w:val="000000" w:themeColor="text1"/>
          <w:szCs w:val="24"/>
        </w:rPr>
      </w:pPr>
    </w:p>
    <w:p w14:paraId="020AEE74" w14:textId="40E74B4C" w:rsidR="002B0289" w:rsidRDefault="002B0289" w:rsidP="002B0289">
      <w:pPr>
        <w:rPr>
          <w:b/>
        </w:rPr>
      </w:pPr>
      <w:r w:rsidRPr="00BB36FB">
        <w:rPr>
          <w:rFonts w:eastAsiaTheme="majorEastAsia" w:cstheme="majorBidi"/>
          <w:b/>
          <w:bCs/>
          <w:color w:val="000000" w:themeColor="text1"/>
        </w:rPr>
        <w:t xml:space="preserve">Figure </w:t>
      </w:r>
      <w:r>
        <w:rPr>
          <w:rFonts w:eastAsiaTheme="majorEastAsia" w:cstheme="majorBidi"/>
          <w:b/>
          <w:bCs/>
          <w:color w:val="000000" w:themeColor="text1"/>
        </w:rPr>
        <w:t>37</w:t>
      </w:r>
      <w:r w:rsidRPr="00BB36FB">
        <w:rPr>
          <w:rFonts w:eastAsiaTheme="majorEastAsia" w:cstheme="majorBidi"/>
          <w:b/>
          <w:bCs/>
          <w:color w:val="000000" w:themeColor="text1"/>
        </w:rPr>
        <w:t>:</w:t>
      </w:r>
      <w:r w:rsidRPr="00467EC0">
        <w:rPr>
          <w:rFonts w:eastAsiaTheme="majorEastAsia" w:cstheme="majorBidi"/>
          <w:b/>
          <w:bCs/>
          <w:color w:val="000000" w:themeColor="text1"/>
        </w:rPr>
        <w:t xml:space="preserve"> </w:t>
      </w:r>
      <w:r>
        <w:rPr>
          <w:b/>
        </w:rPr>
        <w:t xml:space="preserve">Individual making the complaint </w:t>
      </w:r>
    </w:p>
    <w:p w14:paraId="786A8E76" w14:textId="77777777" w:rsidR="002B0289" w:rsidRPr="00DC588F" w:rsidRDefault="002B0289" w:rsidP="002B0289">
      <w:pPr>
        <w:pStyle w:val="Normal-L3"/>
        <w:spacing w:line="276" w:lineRule="auto"/>
      </w:pPr>
      <w:r w:rsidRPr="001F1FD0">
        <w:rPr>
          <w:noProof/>
          <w:lang w:eastAsia="en-AU"/>
        </w:rPr>
        <w:drawing>
          <wp:inline distT="0" distB="0" distL="0" distR="0" wp14:anchorId="2D000991" wp14:editId="058F56DE">
            <wp:extent cx="5832000" cy="2095500"/>
            <wp:effectExtent l="0" t="0" r="16510" b="19050"/>
            <wp:docPr id="315" name="Chart 3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AE83929" w14:textId="77777777" w:rsidR="002B0289" w:rsidRDefault="002B0289" w:rsidP="002B0289">
      <w:pPr>
        <w:rPr>
          <w:i/>
          <w:sz w:val="16"/>
          <w:szCs w:val="16"/>
        </w:rPr>
      </w:pPr>
    </w:p>
    <w:p w14:paraId="29E5A0B4" w14:textId="77777777" w:rsidR="002B0289" w:rsidRDefault="002B0289" w:rsidP="002B0289">
      <w:pPr>
        <w:rPr>
          <w:b/>
        </w:rPr>
      </w:pPr>
      <w:r>
        <w:rPr>
          <w:i/>
          <w:sz w:val="16"/>
          <w:szCs w:val="16"/>
        </w:rPr>
        <w:t>Totals may not sum to 100% due to rounding.</w:t>
      </w:r>
    </w:p>
    <w:p w14:paraId="6952E5D1" w14:textId="77777777" w:rsidR="002B0289" w:rsidRDefault="002B0289" w:rsidP="002B0289"/>
    <w:p w14:paraId="2C476742" w14:textId="12E07BB1" w:rsidR="002B0289" w:rsidRPr="00A647DB" w:rsidRDefault="002B0289" w:rsidP="002B0289">
      <w:r w:rsidRPr="00A647DB">
        <w:t xml:space="preserve">Complaints about </w:t>
      </w:r>
      <w:r>
        <w:t>mental health services were more likely to concern males, and</w:t>
      </w:r>
      <w:r w:rsidRPr="00BA09F0">
        <w:t xml:space="preserve"> were more likely to concern services provided to </w:t>
      </w:r>
      <w:r>
        <w:t>individuals</w:t>
      </w:r>
      <w:r w:rsidRPr="00BA09F0">
        <w:t xml:space="preserve"> </w:t>
      </w:r>
      <w:r w:rsidRPr="00872E70">
        <w:t>between the ages of 25 and 54</w:t>
      </w:r>
      <w:r>
        <w:t>. Details are provided in Figure 38.</w:t>
      </w:r>
    </w:p>
    <w:p w14:paraId="4A510AC5" w14:textId="77777777" w:rsidR="002B0289" w:rsidRDefault="002B0289" w:rsidP="002B0289">
      <w:pPr>
        <w:pStyle w:val="Normal-L3"/>
        <w:spacing w:line="276" w:lineRule="auto"/>
        <w:jc w:val="both"/>
        <w:rPr>
          <w:rFonts w:eastAsiaTheme="majorEastAsia" w:cstheme="majorBidi"/>
          <w:b/>
          <w:bCs/>
          <w:color w:val="000000" w:themeColor="text1"/>
          <w:szCs w:val="24"/>
        </w:rPr>
      </w:pPr>
    </w:p>
    <w:p w14:paraId="2216FF76" w14:textId="15C30EBC" w:rsidR="002B0289" w:rsidRDefault="002B0289" w:rsidP="002B0289">
      <w:pPr>
        <w:pStyle w:val="Normal-L3"/>
        <w:spacing w:line="276" w:lineRule="auto"/>
        <w:jc w:val="both"/>
        <w:rPr>
          <w:rFonts w:eastAsiaTheme="majorEastAsia" w:cstheme="majorBidi"/>
          <w:b/>
          <w:bCs/>
          <w:color w:val="000000" w:themeColor="text1"/>
          <w:szCs w:val="24"/>
        </w:rPr>
      </w:pPr>
      <w:r w:rsidRPr="00467EC0">
        <w:rPr>
          <w:rFonts w:eastAsiaTheme="majorEastAsia" w:cstheme="majorBidi"/>
          <w:b/>
          <w:bCs/>
          <w:color w:val="000000" w:themeColor="text1"/>
          <w:szCs w:val="24"/>
        </w:rPr>
        <w:t xml:space="preserve">Figure </w:t>
      </w:r>
      <w:r>
        <w:rPr>
          <w:rFonts w:eastAsiaTheme="majorEastAsia" w:cstheme="majorBidi"/>
          <w:b/>
          <w:bCs/>
          <w:color w:val="000000" w:themeColor="text1"/>
          <w:szCs w:val="24"/>
        </w:rPr>
        <w:t>38</w:t>
      </w:r>
      <w:r w:rsidRPr="00467EC0">
        <w:rPr>
          <w:rFonts w:eastAsiaTheme="majorEastAsia" w:cstheme="majorBidi"/>
          <w:b/>
          <w:bCs/>
          <w:color w:val="000000" w:themeColor="text1"/>
          <w:szCs w:val="24"/>
        </w:rPr>
        <w:t xml:space="preserve">: </w:t>
      </w:r>
      <w:r>
        <w:rPr>
          <w:rFonts w:eastAsiaTheme="majorEastAsia" w:cstheme="majorBidi"/>
          <w:b/>
          <w:bCs/>
          <w:color w:val="000000" w:themeColor="text1"/>
          <w:szCs w:val="24"/>
        </w:rPr>
        <w:t xml:space="preserve">Age and gender of the </w:t>
      </w:r>
      <w:r w:rsidRPr="008704C8">
        <w:rPr>
          <w:rFonts w:eastAsiaTheme="majorEastAsia" w:cstheme="majorBidi"/>
          <w:b/>
          <w:bCs/>
          <w:color w:val="000000" w:themeColor="text1"/>
          <w:szCs w:val="24"/>
        </w:rPr>
        <w:t>individuals receiving a service</w:t>
      </w:r>
      <w:r>
        <w:t xml:space="preserve"> </w:t>
      </w:r>
      <w:r>
        <w:rPr>
          <w:rFonts w:eastAsiaTheme="majorEastAsia" w:cstheme="majorBidi"/>
          <w:b/>
          <w:bCs/>
          <w:color w:val="000000" w:themeColor="text1"/>
          <w:szCs w:val="24"/>
        </w:rPr>
        <w:t>(2017-18)</w:t>
      </w:r>
    </w:p>
    <w:p w14:paraId="675307D0" w14:textId="77777777" w:rsidR="002B0289" w:rsidRDefault="002B0289" w:rsidP="002B0289">
      <w:pPr>
        <w:spacing w:after="200" w:line="276" w:lineRule="auto"/>
      </w:pPr>
      <w:r>
        <w:rPr>
          <w:noProof/>
          <w:lang w:eastAsia="en-AU"/>
        </w:rPr>
        <mc:AlternateContent>
          <mc:Choice Requires="wps">
            <w:drawing>
              <wp:anchor distT="0" distB="0" distL="114300" distR="114300" simplePos="0" relativeHeight="252693504" behindDoc="0" locked="0" layoutInCell="1" allowOverlap="1" wp14:anchorId="282F92D7" wp14:editId="4420F821">
                <wp:simplePos x="0" y="0"/>
                <wp:positionH relativeFrom="column">
                  <wp:posOffset>4352925</wp:posOffset>
                </wp:positionH>
                <wp:positionV relativeFrom="paragraph">
                  <wp:posOffset>16510</wp:posOffset>
                </wp:positionV>
                <wp:extent cx="1123950" cy="314325"/>
                <wp:effectExtent l="0" t="0" r="0" b="1270"/>
                <wp:wrapNone/>
                <wp:docPr id="3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314325"/>
                        </a:xfrm>
                        <a:prstGeom prst="rect">
                          <a:avLst/>
                        </a:prstGeom>
                        <a:solidFill>
                          <a:srgbClr val="FFFFFF"/>
                        </a:solidFill>
                        <a:ln w="9525">
                          <a:noFill/>
                          <a:miter lim="800000"/>
                          <a:headEnd/>
                          <a:tailEnd/>
                        </a:ln>
                      </wps:spPr>
                      <wps:txbx>
                        <w:txbxContent>
                          <w:p w14:paraId="61181A1B" w14:textId="77777777" w:rsidR="00A03A05" w:rsidRPr="003122C8" w:rsidRDefault="00A03A05" w:rsidP="002B0289">
                            <w:pPr>
                              <w:jc w:val="center"/>
                              <w:rPr>
                                <w:sz w:val="20"/>
                                <w:szCs w:val="20"/>
                              </w:rPr>
                            </w:pPr>
                            <w:r>
                              <w:rPr>
                                <w:sz w:val="20"/>
                                <w:szCs w:val="20"/>
                              </w:rPr>
                              <w:t>Gender</w:t>
                            </w:r>
                            <w:r w:rsidRPr="003122C8">
                              <w:rPr>
                                <w:sz w:val="20"/>
                                <w:szCs w:val="20"/>
                              </w:rPr>
                              <w:t xml:space="preserve"> </w:t>
                            </w:r>
                            <w:r>
                              <w:rPr>
                                <w:sz w:val="20"/>
                                <w:szCs w:val="20"/>
                              </w:rPr>
                              <w:t>(</w:t>
                            </w:r>
                            <w:r w:rsidRPr="003122C8">
                              <w:rPr>
                                <w:sz w:val="20"/>
                                <w:szCs w:val="20"/>
                              </w:rPr>
                              <w:t>n=</w:t>
                            </w:r>
                            <w:r>
                              <w:rPr>
                                <w:sz w:val="20"/>
                                <w:szCs w:val="20"/>
                              </w:rPr>
                              <w:t>361</w:t>
                            </w:r>
                            <w:r w:rsidRPr="003122C8">
                              <w:rPr>
                                <w:sz w:val="20"/>
                                <w:szCs w:val="20"/>
                              </w:rPr>
                              <w:t>)</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91" type="#_x0000_t202" style="position:absolute;margin-left:342.75pt;margin-top:1.3pt;width:88.5pt;height:24.75pt;z-index:25269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" stroked="f">
                <v:textbox style="mso-fit-shape-to-text:t">
                  <w:txbxContent>
                    <w:p w14:paraId="61181A1B" w14:textId="77777777" w:rsidR="00A03A05" w:rsidRPr="003122C8" w:rsidRDefault="00A03A05" w:rsidP="002B0289">
                      <w:pPr>
                        <w:jc w:val="center"/>
                        <w:rPr>
                          <w:sz w:val="20"/>
                          <w:szCs w:val="20"/>
                        </w:rPr>
                      </w:pPr>
                      <w:r>
                        <w:rPr>
                          <w:sz w:val="20"/>
                          <w:szCs w:val="20"/>
                        </w:rPr>
                        <w:t>Gender</w:t>
                      </w:r>
                      <w:r w:rsidRPr="003122C8">
                        <w:rPr>
                          <w:sz w:val="20"/>
                          <w:szCs w:val="20"/>
                        </w:rPr>
                        <w:t xml:space="preserve"> </w:t>
                      </w:r>
                      <w:r>
                        <w:rPr>
                          <w:sz w:val="20"/>
                          <w:szCs w:val="20"/>
                        </w:rPr>
                        <w:t>(</w:t>
                      </w:r>
                      <w:r w:rsidRPr="003122C8">
                        <w:rPr>
                          <w:sz w:val="20"/>
                          <w:szCs w:val="20"/>
                        </w:rPr>
                        <w:t>n=</w:t>
                      </w:r>
                      <w:r>
                        <w:rPr>
                          <w:sz w:val="20"/>
                          <w:szCs w:val="20"/>
                        </w:rPr>
                        <w:t>361</w:t>
                      </w:r>
                      <w:r w:rsidRPr="003122C8">
                        <w:rPr>
                          <w:sz w:val="20"/>
                          <w:szCs w:val="20"/>
                        </w:rPr>
                        <w:t>)</w:t>
                      </w:r>
                    </w:p>
                  </w:txbxContent>
                </v:textbox>
              </v:shape>
            </w:pict>
          </mc:Fallback>
        </mc:AlternateContent>
      </w:r>
      <w:r>
        <w:rPr>
          <w:noProof/>
          <w:lang w:eastAsia="en-AU"/>
        </w:rPr>
        <mc:AlternateContent>
          <mc:Choice Requires="wps">
            <w:drawing>
              <wp:anchor distT="0" distB="0" distL="114300" distR="114300" simplePos="0" relativeHeight="252692480" behindDoc="0" locked="0" layoutInCell="1" allowOverlap="1" wp14:anchorId="3FDBE267" wp14:editId="71897024">
                <wp:simplePos x="0" y="0"/>
                <wp:positionH relativeFrom="column">
                  <wp:posOffset>1466850</wp:posOffset>
                </wp:positionH>
                <wp:positionV relativeFrom="paragraph">
                  <wp:posOffset>16510</wp:posOffset>
                </wp:positionV>
                <wp:extent cx="933450" cy="314325"/>
                <wp:effectExtent l="0" t="0" r="0" b="1270"/>
                <wp:wrapNone/>
                <wp:docPr id="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314325"/>
                        </a:xfrm>
                        <a:prstGeom prst="rect">
                          <a:avLst/>
                        </a:prstGeom>
                        <a:solidFill>
                          <a:srgbClr val="FFFFFF"/>
                        </a:solidFill>
                        <a:ln w="9525">
                          <a:noFill/>
                          <a:miter lim="800000"/>
                          <a:headEnd/>
                          <a:tailEnd/>
                        </a:ln>
                      </wps:spPr>
                      <wps:txbx>
                        <w:txbxContent>
                          <w:p w14:paraId="74AE7611" w14:textId="77777777" w:rsidR="00A03A05" w:rsidRPr="003122C8" w:rsidRDefault="00A03A05" w:rsidP="002B0289">
                            <w:pPr>
                              <w:rPr>
                                <w:sz w:val="20"/>
                                <w:szCs w:val="20"/>
                              </w:rPr>
                            </w:pPr>
                            <w:r>
                              <w:rPr>
                                <w:sz w:val="20"/>
                                <w:szCs w:val="20"/>
                              </w:rPr>
                              <w:t>Age (n=201</w:t>
                            </w:r>
                            <w:r w:rsidRPr="003122C8">
                              <w:rPr>
                                <w:sz w:val="20"/>
                                <w:szCs w:val="20"/>
                              </w:rPr>
                              <w:t>)</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0</wp14:pctHeight>
                </wp14:sizeRelV>
              </wp:anchor>
            </w:drawing>
          </mc:Choice>
          <mc:Fallback>
            <w:pict>
              <v:shape id="_x0000_s1092" type="#_x0000_t202" style="position:absolute;margin-left:115.5pt;margin-top:1.3pt;width:73.5pt;height:24.75pt;z-index:25269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" stroked="f">
                <v:textbox style="mso-fit-shape-to-text:t">
                  <w:txbxContent>
                    <w:p w14:paraId="74AE7611" w14:textId="77777777" w:rsidR="00A03A05" w:rsidRPr="003122C8" w:rsidRDefault="00A03A05" w:rsidP="002B0289">
                      <w:pPr>
                        <w:rPr>
                          <w:sz w:val="20"/>
                          <w:szCs w:val="20"/>
                        </w:rPr>
                      </w:pPr>
                      <w:r>
                        <w:rPr>
                          <w:sz w:val="20"/>
                          <w:szCs w:val="20"/>
                        </w:rPr>
                        <w:t>Age (n=201</w:t>
                      </w:r>
                      <w:r w:rsidRPr="003122C8">
                        <w:rPr>
                          <w:sz w:val="20"/>
                          <w:szCs w:val="20"/>
                        </w:rPr>
                        <w:t>)</w:t>
                      </w:r>
                    </w:p>
                  </w:txbxContent>
                </v:textbox>
              </v:shape>
            </w:pict>
          </mc:Fallback>
        </mc:AlternateContent>
      </w:r>
      <w:r w:rsidRPr="0069133C">
        <w:rPr>
          <w:noProof/>
          <w:shd w:val="clear" w:color="auto" w:fill="BFBFBF" w:themeFill="background1" w:themeFillShade="BF"/>
          <w:lang w:eastAsia="en-AU"/>
        </w:rPr>
        <w:drawing>
          <wp:inline distT="0" distB="0" distL="0" distR="0" wp14:anchorId="40A01668" wp14:editId="58885AE3">
            <wp:extent cx="5732145" cy="2105497"/>
            <wp:effectExtent l="0" t="0" r="20955" b="9525"/>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775FAE5F" w14:textId="029AB357" w:rsidR="002B0289" w:rsidRPr="00120331" w:rsidRDefault="002B0289" w:rsidP="002B0289">
      <w:pPr>
        <w:spacing w:after="200" w:line="276" w:lineRule="auto"/>
        <w:rPr>
          <w:i/>
          <w:sz w:val="16"/>
          <w:szCs w:val="16"/>
        </w:rPr>
      </w:pPr>
      <w:r>
        <w:rPr>
          <w:i/>
          <w:sz w:val="16"/>
          <w:szCs w:val="16"/>
        </w:rPr>
        <w:t xml:space="preserve">The data in Figure 38 is provided only for complaints where demographic information about the individual receiving a service was recorded. </w:t>
      </w:r>
    </w:p>
    <w:p w14:paraId="2CB15D5C" w14:textId="77777777" w:rsidR="002B0289" w:rsidRDefault="002B0289" w:rsidP="002B0289"/>
    <w:p w14:paraId="2B576D03" w14:textId="77777777" w:rsidR="002B0289" w:rsidRDefault="002B0289" w:rsidP="002B0289"/>
    <w:p w14:paraId="53FDD6B8" w14:textId="77777777" w:rsidR="002B0289" w:rsidRDefault="002B0289" w:rsidP="002B0289"/>
    <w:p w14:paraId="4C232763" w14:textId="77777777" w:rsidR="002B0289" w:rsidRDefault="002B0289" w:rsidP="002B0289"/>
    <w:p w14:paraId="7BAAD2EF" w14:textId="77777777" w:rsidR="002B0289" w:rsidRDefault="002B0289" w:rsidP="002B0289"/>
    <w:p w14:paraId="636B1016" w14:textId="77777777" w:rsidR="002B0289" w:rsidRDefault="002B0289" w:rsidP="002B0289"/>
    <w:p w14:paraId="1D55002C" w14:textId="77777777" w:rsidR="002B0289" w:rsidRDefault="002B0289" w:rsidP="002B0289"/>
    <w:p w14:paraId="1BE7E707" w14:textId="77777777" w:rsidR="002B0289" w:rsidRDefault="002B0289" w:rsidP="002B0289">
      <w:pPr>
        <w:rPr>
          <w:b/>
        </w:rPr>
      </w:pPr>
      <w:r>
        <w:rPr>
          <w:b/>
        </w:rPr>
        <w:lastRenderedPageBreak/>
        <w:t xml:space="preserve">Issues identified </w:t>
      </w:r>
    </w:p>
    <w:p w14:paraId="2A96ACBE" w14:textId="77777777" w:rsidR="002B0289" w:rsidRPr="00C94DA2" w:rsidRDefault="002B0289" w:rsidP="002B0289">
      <w:pPr>
        <w:rPr>
          <w:b/>
        </w:rPr>
      </w:pPr>
    </w:p>
    <w:p w14:paraId="716DCD83" w14:textId="77777777" w:rsidR="002B0289" w:rsidRDefault="002B0289" w:rsidP="002B0289">
      <w:r>
        <w:t>The issues associated with a complaint about mental health services are determined by HaDSCO staff in discussion with the person making the complaint. Identifying the issues in the complaint provides for effective resolution and allows all parties to have an understanding of the issues raised.</w:t>
      </w:r>
    </w:p>
    <w:p w14:paraId="1C72084A" w14:textId="77777777" w:rsidR="002B0289" w:rsidRDefault="002B0289" w:rsidP="002B0289"/>
    <w:p w14:paraId="5DB4AF5C" w14:textId="3E0DF545" w:rsidR="002B0289" w:rsidRPr="00BB36FB" w:rsidRDefault="002B0289" w:rsidP="002B0289">
      <w:r w:rsidRPr="00AC4767">
        <w:t xml:space="preserve">More than one </w:t>
      </w:r>
      <w:r>
        <w:t>issue</w:t>
      </w:r>
      <w:r w:rsidRPr="00AC4767">
        <w:t xml:space="preserve"> can be raised </w:t>
      </w:r>
      <w:r>
        <w:t>in a single complaint. Of the 361</w:t>
      </w:r>
      <w:r w:rsidRPr="00AC4767">
        <w:t xml:space="preserve"> complaints about mental health s</w:t>
      </w:r>
      <w:r>
        <w:t xml:space="preserve">ervices closed by HaDSCO in 2017-18, 47% </w:t>
      </w:r>
      <w:r w:rsidRPr="00AC4767">
        <w:t>concerned mul</w:t>
      </w:r>
      <w:r w:rsidRPr="00BB36FB">
        <w:t>tiple is</w:t>
      </w:r>
      <w:r>
        <w:t>sues, resulting in a total of 600</w:t>
      </w:r>
      <w:r w:rsidRPr="00BB36FB">
        <w:t xml:space="preserve"> issues being identified. </w:t>
      </w:r>
      <w:r w:rsidR="00F66601">
        <w:t>As shown in Figure </w:t>
      </w:r>
      <w:r>
        <w:t>39</w:t>
      </w:r>
      <w:r w:rsidRPr="0085760F">
        <w:t>, the</w:t>
      </w:r>
      <w:r w:rsidRPr="00B60653">
        <w:t xml:space="preserve"> number of </w:t>
      </w:r>
      <w:r>
        <w:t>complaints identifying more than one issue has increased over the past three years, suggesting an increase in the complexity of the mental health complaints managed by the Office.</w:t>
      </w:r>
    </w:p>
    <w:p w14:paraId="77B84A44" w14:textId="77777777" w:rsidR="002B0289" w:rsidRPr="00BB36FB" w:rsidRDefault="002B0289" w:rsidP="002B0289">
      <w:pPr>
        <w:jc w:val="both"/>
      </w:pPr>
    </w:p>
    <w:p w14:paraId="7405F77B" w14:textId="63257DD5" w:rsidR="002B0289" w:rsidRDefault="002B0289" w:rsidP="002B0289">
      <w:pPr>
        <w:pStyle w:val="Normal-L3"/>
        <w:spacing w:line="276" w:lineRule="auto"/>
        <w:jc w:val="both"/>
        <w:rPr>
          <w:rFonts w:eastAsiaTheme="majorEastAsia" w:cstheme="majorBidi"/>
          <w:b/>
          <w:bCs/>
          <w:color w:val="000000" w:themeColor="text1"/>
          <w:szCs w:val="24"/>
        </w:rPr>
      </w:pPr>
      <w:r>
        <w:rPr>
          <w:rFonts w:eastAsiaTheme="majorEastAsia" w:cstheme="majorBidi"/>
          <w:b/>
          <w:bCs/>
          <w:color w:val="000000" w:themeColor="text1"/>
          <w:szCs w:val="24"/>
        </w:rPr>
        <w:t>Figure 39</w:t>
      </w:r>
      <w:r w:rsidRPr="00BB36FB">
        <w:rPr>
          <w:rFonts w:eastAsiaTheme="majorEastAsia" w:cstheme="majorBidi"/>
          <w:b/>
          <w:bCs/>
          <w:color w:val="000000" w:themeColor="text1"/>
          <w:szCs w:val="24"/>
        </w:rPr>
        <w:t>:</w:t>
      </w:r>
      <w:r w:rsidRPr="00BD23C6">
        <w:rPr>
          <w:rFonts w:eastAsiaTheme="majorEastAsia" w:cstheme="majorBidi"/>
          <w:b/>
          <w:bCs/>
          <w:color w:val="000000" w:themeColor="text1"/>
          <w:szCs w:val="24"/>
        </w:rPr>
        <w:t xml:space="preserve"> Issues </w:t>
      </w:r>
      <w:r>
        <w:rPr>
          <w:rFonts w:eastAsiaTheme="majorEastAsia" w:cstheme="majorBidi"/>
          <w:b/>
          <w:bCs/>
          <w:color w:val="000000" w:themeColor="text1"/>
          <w:szCs w:val="24"/>
        </w:rPr>
        <w:t xml:space="preserve">identified </w:t>
      </w:r>
    </w:p>
    <w:p w14:paraId="23F40F5D" w14:textId="77777777" w:rsidR="002B0289" w:rsidRDefault="002B0289" w:rsidP="002B0289">
      <w:pPr>
        <w:jc w:val="both"/>
      </w:pPr>
      <w:r w:rsidRPr="00415BC1">
        <w:rPr>
          <w:noProof/>
          <w:lang w:eastAsia="en-AU"/>
        </w:rPr>
        <w:drawing>
          <wp:inline distT="0" distB="0" distL="0" distR="0" wp14:anchorId="02139EC5" wp14:editId="45BE990C">
            <wp:extent cx="5905500" cy="2124000"/>
            <wp:effectExtent l="0" t="0" r="19050" b="1016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64FE28FE" w14:textId="77777777" w:rsidR="002B0289" w:rsidRDefault="002B0289" w:rsidP="002B0289">
      <w:pPr>
        <w:jc w:val="both"/>
        <w:rPr>
          <w:i/>
          <w:sz w:val="16"/>
          <w:szCs w:val="16"/>
        </w:rPr>
      </w:pPr>
      <w:r>
        <w:rPr>
          <w:i/>
          <w:sz w:val="16"/>
          <w:szCs w:val="16"/>
        </w:rPr>
        <w:br/>
      </w:r>
    </w:p>
    <w:p w14:paraId="057779AF" w14:textId="77777777" w:rsidR="002B0289" w:rsidRDefault="002B0289" w:rsidP="002B0289">
      <w:pPr>
        <w:jc w:val="both"/>
        <w:rPr>
          <w:i/>
          <w:sz w:val="16"/>
          <w:szCs w:val="16"/>
        </w:rPr>
      </w:pPr>
    </w:p>
    <w:p w14:paraId="5383E725" w14:textId="77777777" w:rsidR="002B0289" w:rsidRDefault="002B0289" w:rsidP="002B0289">
      <w:pPr>
        <w:jc w:val="both"/>
        <w:rPr>
          <w:i/>
          <w:sz w:val="16"/>
          <w:szCs w:val="16"/>
        </w:rPr>
      </w:pPr>
    </w:p>
    <w:p w14:paraId="0647559B" w14:textId="77777777" w:rsidR="002B0289" w:rsidRDefault="002B0289" w:rsidP="002B0289">
      <w:pPr>
        <w:spacing w:after="200" w:line="276" w:lineRule="auto"/>
        <w:rPr>
          <w:i/>
          <w:sz w:val="16"/>
          <w:szCs w:val="16"/>
        </w:rPr>
      </w:pPr>
      <w:r>
        <w:rPr>
          <w:i/>
          <w:sz w:val="16"/>
          <w:szCs w:val="16"/>
        </w:rPr>
        <w:br w:type="page"/>
      </w:r>
    </w:p>
    <w:p w14:paraId="4D571BA4" w14:textId="1E5052D7" w:rsidR="002B0289" w:rsidRDefault="002B0289" w:rsidP="002B0289">
      <w:pPr>
        <w:jc w:val="both"/>
      </w:pPr>
      <w:r w:rsidRPr="00B60653">
        <w:lastRenderedPageBreak/>
        <w:t xml:space="preserve">The </w:t>
      </w:r>
      <w:r>
        <w:t>complaint issue categories</w:t>
      </w:r>
      <w:r w:rsidRPr="00B60653">
        <w:t xml:space="preserve"> identified in </w:t>
      </w:r>
      <w:r>
        <w:t xml:space="preserve">the </w:t>
      </w:r>
      <w:r w:rsidRPr="00B60653">
        <w:t xml:space="preserve">complaints </w:t>
      </w:r>
      <w:r w:rsidRPr="00942237">
        <w:t xml:space="preserve">about </w:t>
      </w:r>
      <w:r>
        <w:t xml:space="preserve">mental </w:t>
      </w:r>
      <w:r w:rsidRPr="00942237">
        <w:t xml:space="preserve">health services closed by HaDSCO </w:t>
      </w:r>
      <w:r>
        <w:t>over the last three years</w:t>
      </w:r>
      <w:r w:rsidRPr="00BB36FB">
        <w:rPr>
          <w:rStyle w:val="FootnoteReference"/>
        </w:rPr>
        <w:footnoteReference w:id="4"/>
      </w:r>
      <w:r w:rsidRPr="00942237">
        <w:t xml:space="preserve"> are sh</w:t>
      </w:r>
      <w:r>
        <w:t>own in Figure 40</w:t>
      </w:r>
      <w:r w:rsidRPr="00942237">
        <w:t>.</w:t>
      </w:r>
      <w:r>
        <w:t xml:space="preserve"> Within each complaint category, a variety of specific issues may be identified by the individual making the complaint.</w:t>
      </w:r>
    </w:p>
    <w:p w14:paraId="21CC4B68" w14:textId="77777777" w:rsidR="002B0289" w:rsidRDefault="002B0289" w:rsidP="002B0289"/>
    <w:p w14:paraId="35758CAE" w14:textId="43A0285E" w:rsidR="002B0289" w:rsidRPr="00AC4767" w:rsidRDefault="002B0289" w:rsidP="002B0289">
      <w:pPr>
        <w:pStyle w:val="Normal-L3"/>
        <w:spacing w:line="276" w:lineRule="auto"/>
        <w:jc w:val="both"/>
        <w:rPr>
          <w:rFonts w:eastAsiaTheme="majorEastAsia" w:cstheme="majorBidi"/>
          <w:b/>
          <w:bCs/>
          <w:color w:val="000000" w:themeColor="text1"/>
          <w:szCs w:val="24"/>
        </w:rPr>
      </w:pPr>
      <w:r>
        <w:rPr>
          <w:rFonts w:eastAsiaTheme="majorEastAsia" w:cstheme="majorBidi"/>
          <w:b/>
          <w:bCs/>
          <w:color w:val="000000" w:themeColor="text1"/>
          <w:szCs w:val="24"/>
        </w:rPr>
        <w:t>Figure 40</w:t>
      </w:r>
      <w:r w:rsidRPr="003F14EE">
        <w:rPr>
          <w:rFonts w:eastAsiaTheme="majorEastAsia" w:cstheme="majorBidi"/>
          <w:b/>
          <w:bCs/>
          <w:color w:val="000000" w:themeColor="text1"/>
          <w:szCs w:val="24"/>
        </w:rPr>
        <w:t>: Complaint issues identified</w:t>
      </w:r>
      <w:r>
        <w:rPr>
          <w:rStyle w:val="FootnoteReference"/>
          <w:rFonts w:eastAsiaTheme="majorEastAsia" w:cstheme="majorBidi"/>
          <w:b/>
          <w:bCs/>
          <w:color w:val="000000" w:themeColor="text1"/>
          <w:szCs w:val="24"/>
        </w:rPr>
        <w:footnoteReference w:id="5"/>
      </w:r>
    </w:p>
    <w:p w14:paraId="79A2B604" w14:textId="77777777" w:rsidR="002B0289" w:rsidRPr="00AC4767" w:rsidRDefault="002B0289" w:rsidP="002B0289">
      <w:pPr>
        <w:jc w:val="both"/>
      </w:pPr>
      <w:r w:rsidRPr="00AC4767">
        <w:rPr>
          <w:noProof/>
          <w:lang w:eastAsia="en-AU"/>
        </w:rPr>
        <w:drawing>
          <wp:inline distT="0" distB="0" distL="0" distR="0" wp14:anchorId="3C024504" wp14:editId="3E1E8B43">
            <wp:extent cx="5394960" cy="4176000"/>
            <wp:effectExtent l="0" t="0" r="15240" b="1524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722DAA3E" w14:textId="77777777" w:rsidR="002B0289" w:rsidRPr="00453757" w:rsidRDefault="002B0289" w:rsidP="002B0289">
      <w:pPr>
        <w:rPr>
          <w:i/>
          <w:sz w:val="16"/>
          <w:szCs w:val="20"/>
        </w:rPr>
      </w:pPr>
      <w:r>
        <w:rPr>
          <w:i/>
          <w:sz w:val="16"/>
          <w:szCs w:val="20"/>
        </w:rPr>
        <w:br/>
      </w:r>
      <w:r w:rsidRPr="00453757">
        <w:rPr>
          <w:i/>
          <w:sz w:val="16"/>
          <w:szCs w:val="20"/>
        </w:rPr>
        <w:t xml:space="preserve">Percentage of all mental health complaints closed in the financial year. Because multiple issues can be identified per complaint, percentages </w:t>
      </w:r>
      <w:r>
        <w:rPr>
          <w:i/>
          <w:sz w:val="16"/>
          <w:szCs w:val="20"/>
        </w:rPr>
        <w:t>may</w:t>
      </w:r>
      <w:r w:rsidRPr="00453757">
        <w:rPr>
          <w:i/>
          <w:sz w:val="16"/>
          <w:szCs w:val="20"/>
        </w:rPr>
        <w:t xml:space="preserve"> not sum to 100%.</w:t>
      </w:r>
    </w:p>
    <w:p w14:paraId="5CE8F0DA" w14:textId="77777777" w:rsidR="002B0289" w:rsidRPr="00AC4767" w:rsidRDefault="002B0289" w:rsidP="002B0289"/>
    <w:p w14:paraId="6F6CBD6C" w14:textId="77777777" w:rsidR="002B0289" w:rsidRDefault="002B0289" w:rsidP="002B0289">
      <w:r>
        <w:t>In 2017-18, t</w:t>
      </w:r>
      <w:r w:rsidRPr="003F14EE">
        <w:t>he majority of complaints con</w:t>
      </w:r>
      <w:r>
        <w:t>cerned quality of clinical care; communication; rights, respect and dignity; and decision making</w:t>
      </w:r>
      <w:r w:rsidRPr="003F14EE">
        <w:t xml:space="preserve">. The most common issues identified in </w:t>
      </w:r>
      <w:r>
        <w:t>mental health</w:t>
      </w:r>
      <w:r w:rsidRPr="003F14EE">
        <w:t xml:space="preserve"> complaints were generally consistent </w:t>
      </w:r>
      <w:r>
        <w:t>over time,</w:t>
      </w:r>
      <w:r w:rsidRPr="003F14EE">
        <w:t xml:space="preserve"> with the </w:t>
      </w:r>
      <w:r>
        <w:t>following exceptions:</w:t>
      </w:r>
    </w:p>
    <w:p w14:paraId="39ABDD75" w14:textId="77777777" w:rsidR="002B0289" w:rsidRDefault="002B0289" w:rsidP="002B0289"/>
    <w:p w14:paraId="115BA9B3" w14:textId="77777777" w:rsidR="002B0289" w:rsidRDefault="002B0289" w:rsidP="000B6A67">
      <w:pPr>
        <w:pStyle w:val="ListParagraph"/>
        <w:numPr>
          <w:ilvl w:val="0"/>
          <w:numId w:val="43"/>
        </w:numPr>
      </w:pPr>
      <w:r>
        <w:t>The proportion of mental health complaints citing a concern with communication has increased each year, from 24% in 2015-16 to 32% in 2017-18.</w:t>
      </w:r>
    </w:p>
    <w:p w14:paraId="0489E37D" w14:textId="77777777" w:rsidR="002B0289" w:rsidRDefault="002B0289" w:rsidP="000B6A67">
      <w:pPr>
        <w:pStyle w:val="ListParagraph"/>
        <w:numPr>
          <w:ilvl w:val="0"/>
          <w:numId w:val="43"/>
        </w:numPr>
      </w:pPr>
      <w:r>
        <w:t>The proportion of mental health complaints citing a concern with access has decreased each year, from 15% in 2015-16 to 9% in 2017-18.</w:t>
      </w:r>
    </w:p>
    <w:p w14:paraId="38E8F360" w14:textId="77777777" w:rsidR="002B0289" w:rsidRDefault="002B0289" w:rsidP="002B0289">
      <w:pPr>
        <w:jc w:val="both"/>
      </w:pPr>
    </w:p>
    <w:p w14:paraId="5BCD6FDB" w14:textId="2A99D2D9" w:rsidR="002B0289" w:rsidRDefault="002B0289" w:rsidP="002B0289">
      <w:pPr>
        <w:jc w:val="both"/>
      </w:pPr>
      <w:r w:rsidRPr="00B92C67">
        <w:t>For a detailed breakdown of the specific complaint issues identified within eac</w:t>
      </w:r>
      <w:r>
        <w:t>h complaint category in Figure 40</w:t>
      </w:r>
      <w:r w:rsidRPr="00B92C67">
        <w:t xml:space="preserve">, please refer to </w:t>
      </w:r>
      <w:r w:rsidR="00DA1135" w:rsidRPr="00DA1135">
        <w:t xml:space="preserve">Appendix </w:t>
      </w:r>
      <w:r w:rsidR="00DA1135">
        <w:t>5.6</w:t>
      </w:r>
      <w:r w:rsidRPr="00B92C67">
        <w:t>.</w:t>
      </w:r>
    </w:p>
    <w:p w14:paraId="7349176C" w14:textId="77777777" w:rsidR="002B0289" w:rsidRDefault="002B0289" w:rsidP="002B0289">
      <w:pPr>
        <w:rPr>
          <w:b/>
        </w:rPr>
      </w:pPr>
      <w:r>
        <w:rPr>
          <w:b/>
        </w:rPr>
        <w:lastRenderedPageBreak/>
        <w:t xml:space="preserve">Mental health service types </w:t>
      </w:r>
    </w:p>
    <w:p w14:paraId="56147588" w14:textId="77777777" w:rsidR="002B0289" w:rsidRPr="00C94DA2" w:rsidRDefault="002B0289" w:rsidP="002B0289">
      <w:pPr>
        <w:rPr>
          <w:b/>
        </w:rPr>
      </w:pPr>
    </w:p>
    <w:p w14:paraId="69EDC070" w14:textId="46971CDE" w:rsidR="002B0289" w:rsidRDefault="002B0289" w:rsidP="002B0289">
      <w:r>
        <w:t>The specific mental health service types identified in mental health complaints closed by the Office over the past three years are shown in Figure 41</w:t>
      </w:r>
      <w:r w:rsidRPr="00BB36FB">
        <w:t>.</w:t>
      </w:r>
    </w:p>
    <w:p w14:paraId="60FC8751" w14:textId="77777777" w:rsidR="002B0289" w:rsidRDefault="002B0289" w:rsidP="002B0289"/>
    <w:p w14:paraId="52E00737" w14:textId="34E6E56D" w:rsidR="002B0289" w:rsidRPr="00D83DFB" w:rsidRDefault="002B0289" w:rsidP="002B0289">
      <w:r>
        <w:t>The service types that were most frequently the subject of complaints in 2017-18 were psychiatrists/psychiatry (65%), community mental health s</w:t>
      </w:r>
      <w:r w:rsidR="00DD423B">
        <w:t>ervices (12%), and psychologist</w:t>
      </w:r>
      <w:r>
        <w:t>/psychotherapist (8%).</w:t>
      </w:r>
    </w:p>
    <w:p w14:paraId="7781AC2F" w14:textId="77777777" w:rsidR="002B0289" w:rsidRPr="00D83DFB" w:rsidRDefault="002B0289" w:rsidP="002B0289"/>
    <w:p w14:paraId="44B773CC" w14:textId="77777777" w:rsidR="002B0289" w:rsidRDefault="002B0289" w:rsidP="002B0289">
      <w:r>
        <w:t xml:space="preserve">The </w:t>
      </w:r>
      <w:r w:rsidRPr="00D83DFB">
        <w:t xml:space="preserve">increase in the number of complaints concerning </w:t>
      </w:r>
      <w:r>
        <w:t>community mental health services observed in 2016-17 has continued in 2017-18</w:t>
      </w:r>
      <w:r w:rsidRPr="00D83DFB">
        <w:t xml:space="preserve">, </w:t>
      </w:r>
      <w:r>
        <w:t xml:space="preserve">while 2017-18 has also seen a decline in the proportion of complaints relating to prison mental health services and an increase in the number of complaints relating to psychologists and psychotherapists. </w:t>
      </w:r>
    </w:p>
    <w:p w14:paraId="4CE2222A" w14:textId="77777777" w:rsidR="002B0289" w:rsidRDefault="002B0289" w:rsidP="002B0289">
      <w:pPr>
        <w:jc w:val="both"/>
      </w:pPr>
    </w:p>
    <w:p w14:paraId="1A4582EC" w14:textId="3F708F1F" w:rsidR="002B0289" w:rsidRDefault="002B0289" w:rsidP="002B0289">
      <w:pPr>
        <w:pStyle w:val="Normal-L3"/>
        <w:spacing w:line="276" w:lineRule="auto"/>
        <w:jc w:val="both"/>
        <w:rPr>
          <w:rFonts w:eastAsiaTheme="majorEastAsia" w:cstheme="majorBidi"/>
          <w:b/>
          <w:bCs/>
          <w:color w:val="000000" w:themeColor="text1"/>
          <w:szCs w:val="24"/>
        </w:rPr>
      </w:pPr>
      <w:r w:rsidRPr="00BB36FB">
        <w:rPr>
          <w:rFonts w:eastAsiaTheme="majorEastAsia" w:cstheme="majorBidi"/>
          <w:b/>
          <w:bCs/>
          <w:color w:val="000000" w:themeColor="text1"/>
          <w:szCs w:val="24"/>
        </w:rPr>
        <w:t xml:space="preserve">Figure </w:t>
      </w:r>
      <w:r>
        <w:rPr>
          <w:rFonts w:eastAsiaTheme="majorEastAsia" w:cstheme="majorBidi"/>
          <w:b/>
          <w:bCs/>
          <w:color w:val="000000" w:themeColor="text1"/>
          <w:szCs w:val="24"/>
        </w:rPr>
        <w:t>41</w:t>
      </w:r>
      <w:r w:rsidRPr="00BB36FB">
        <w:rPr>
          <w:rFonts w:eastAsiaTheme="majorEastAsia" w:cstheme="majorBidi"/>
          <w:b/>
          <w:bCs/>
          <w:color w:val="000000" w:themeColor="text1"/>
          <w:szCs w:val="24"/>
        </w:rPr>
        <w:t>: Mental</w:t>
      </w:r>
      <w:r>
        <w:rPr>
          <w:rFonts w:eastAsiaTheme="majorEastAsia" w:cstheme="majorBidi"/>
          <w:b/>
          <w:bCs/>
          <w:color w:val="000000" w:themeColor="text1"/>
          <w:szCs w:val="24"/>
        </w:rPr>
        <w:t xml:space="preserve"> health service types</w:t>
      </w:r>
    </w:p>
    <w:p w14:paraId="77BC4D28" w14:textId="77777777" w:rsidR="002B0289" w:rsidRDefault="002B0289" w:rsidP="002B0289">
      <w:pPr>
        <w:jc w:val="both"/>
      </w:pPr>
      <w:r w:rsidRPr="008E78AE">
        <w:rPr>
          <w:noProof/>
          <w:lang w:eastAsia="en-AU"/>
        </w:rPr>
        <w:drawing>
          <wp:inline distT="0" distB="0" distL="0" distR="0" wp14:anchorId="34D156E4" wp14:editId="5DFF4297">
            <wp:extent cx="4680000" cy="4356000"/>
            <wp:effectExtent l="0" t="0" r="25400" b="26035"/>
            <wp:docPr id="319" name="Chart 3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0DE8E4EE" w14:textId="77777777" w:rsidR="002B0289" w:rsidRPr="003D7D21" w:rsidRDefault="002B0289" w:rsidP="002B0289">
      <w:pPr>
        <w:jc w:val="both"/>
        <w:rPr>
          <w:sz w:val="16"/>
          <w:szCs w:val="16"/>
        </w:rPr>
      </w:pPr>
    </w:p>
    <w:p w14:paraId="5E210615" w14:textId="3AA3396E" w:rsidR="00117CF2" w:rsidRDefault="002B0289" w:rsidP="002B0289">
      <w:pPr>
        <w:rPr>
          <w:i/>
          <w:sz w:val="16"/>
          <w:szCs w:val="16"/>
        </w:rPr>
      </w:pPr>
      <w:r>
        <w:rPr>
          <w:i/>
          <w:sz w:val="16"/>
          <w:szCs w:val="16"/>
        </w:rPr>
        <w:t>Totals may not sum to 100% due to rounding.</w:t>
      </w:r>
    </w:p>
    <w:p w14:paraId="33F340A7" w14:textId="77777777" w:rsidR="00117CF2" w:rsidRDefault="00117CF2" w:rsidP="00117CF2">
      <w:pPr>
        <w:rPr>
          <w:i/>
          <w:sz w:val="16"/>
          <w:szCs w:val="16"/>
        </w:rPr>
      </w:pPr>
    </w:p>
    <w:p w14:paraId="16040529" w14:textId="77777777" w:rsidR="00117CF2" w:rsidRDefault="00117CF2" w:rsidP="00117CF2">
      <w:pPr>
        <w:rPr>
          <w:i/>
          <w:sz w:val="16"/>
          <w:szCs w:val="16"/>
        </w:rPr>
      </w:pPr>
    </w:p>
    <w:p w14:paraId="3346BC1A" w14:textId="77777777" w:rsidR="00117CF2" w:rsidRDefault="00117CF2" w:rsidP="00117CF2">
      <w:pPr>
        <w:rPr>
          <w:i/>
          <w:sz w:val="16"/>
          <w:szCs w:val="16"/>
        </w:rPr>
      </w:pPr>
    </w:p>
    <w:p w14:paraId="3BAB12DA" w14:textId="77777777" w:rsidR="00117CF2" w:rsidRDefault="00117CF2" w:rsidP="00117CF2">
      <w:pPr>
        <w:rPr>
          <w:i/>
          <w:sz w:val="16"/>
          <w:szCs w:val="16"/>
        </w:rPr>
      </w:pPr>
    </w:p>
    <w:p w14:paraId="2CFF1422" w14:textId="77777777" w:rsidR="00117CF2" w:rsidRDefault="00117CF2" w:rsidP="00117CF2">
      <w:pPr>
        <w:spacing w:after="200" w:line="276" w:lineRule="auto"/>
        <w:rPr>
          <w:i/>
          <w:sz w:val="16"/>
          <w:szCs w:val="16"/>
        </w:rPr>
      </w:pPr>
      <w:r>
        <w:rPr>
          <w:i/>
          <w:sz w:val="16"/>
          <w:szCs w:val="16"/>
        </w:rPr>
        <w:br w:type="page"/>
      </w:r>
    </w:p>
    <w:p w14:paraId="63C6E35B" w14:textId="77777777" w:rsidR="00974C3E" w:rsidRPr="00916024" w:rsidRDefault="00974C3E" w:rsidP="00EC42B6">
      <w:pPr>
        <w:pStyle w:val="Heading3"/>
        <w:rPr>
          <w:color w:val="033349"/>
          <w:sz w:val="28"/>
        </w:rPr>
      </w:pPr>
      <w:bookmarkStart w:id="209" w:name="_Toc493506757"/>
      <w:bookmarkStart w:id="210" w:name="_Toc522094803"/>
      <w:r w:rsidRPr="00916024">
        <w:rPr>
          <w:color w:val="033349"/>
          <w:sz w:val="28"/>
        </w:rPr>
        <w:lastRenderedPageBreak/>
        <w:t>External complaints data</w:t>
      </w:r>
      <w:bookmarkEnd w:id="209"/>
      <w:bookmarkEnd w:id="210"/>
    </w:p>
    <w:p w14:paraId="600CFF0F" w14:textId="77777777" w:rsidR="00974C3E" w:rsidRDefault="00974C3E" w:rsidP="00920C34">
      <w:pPr>
        <w:pStyle w:val="Heading3"/>
        <w:spacing w:line="240" w:lineRule="auto"/>
        <w:rPr>
          <w:b w:val="0"/>
          <w:iCs w:val="0"/>
          <w:color w:val="000000" w:themeColor="text1"/>
        </w:rPr>
      </w:pPr>
    </w:p>
    <w:p w14:paraId="161F6A62" w14:textId="77777777" w:rsidR="005D5405" w:rsidRPr="004C5EDB" w:rsidRDefault="005D5405" w:rsidP="005D5405">
      <w:r w:rsidRPr="004C5EDB">
        <w:t xml:space="preserve">Under Section 75 of the </w:t>
      </w:r>
      <w:r w:rsidRPr="004C5EDB">
        <w:rPr>
          <w:i/>
        </w:rPr>
        <w:t>Health and Disability Services (Complaints) Act 1995</w:t>
      </w:r>
      <w:r w:rsidRPr="004C5EDB">
        <w:t xml:space="preserve"> and the </w:t>
      </w:r>
      <w:r w:rsidRPr="004C5EDB">
        <w:rPr>
          <w:i/>
        </w:rPr>
        <w:t>Health and Disability Services (Complaints) Regulations 2010</w:t>
      </w:r>
      <w:r w:rsidRPr="004C5EDB">
        <w:t>, each year HaDSCO collects complaint data from prescribed government and non-government health service providers in Western Australia. Having commenced in the 2015-16 financial year, HaDSCO receives data from a selection of public Health Service Providers</w:t>
      </w:r>
      <w:r w:rsidRPr="004C5EDB">
        <w:rPr>
          <w:rStyle w:val="FootnoteReference"/>
          <w:b/>
          <w:iCs/>
          <w:color w:val="000000" w:themeColor="text1"/>
        </w:rPr>
        <w:footnoteReference w:id="6"/>
      </w:r>
      <w:r w:rsidRPr="004C5EDB">
        <w:t xml:space="preserve"> about the mental health complaints received by the providers.</w:t>
      </w:r>
    </w:p>
    <w:p w14:paraId="4E40EBBF" w14:textId="77777777" w:rsidR="005D5405" w:rsidRPr="004C5EDB" w:rsidRDefault="005D5405" w:rsidP="005D5405"/>
    <w:p w14:paraId="2BA0D66E" w14:textId="77777777" w:rsidR="005D5405" w:rsidRPr="004C5EDB" w:rsidRDefault="005D5405" w:rsidP="005D5405">
      <w:r w:rsidRPr="004C5EDB">
        <w:t>The information collected by HaDSCO is used to identify systemic issues and trends across the mental health sector and develop resource materials for stakeholders. The data collection also provides HaDSCO with the opportunity to work with service providers to improve their complaints management processes.</w:t>
      </w:r>
    </w:p>
    <w:p w14:paraId="544EFDD8" w14:textId="77777777" w:rsidR="005D5405" w:rsidRPr="004C5EDB" w:rsidRDefault="005D5405" w:rsidP="005D5405"/>
    <w:p w14:paraId="756D3709" w14:textId="77777777" w:rsidR="005D5405" w:rsidRPr="004C5EDB" w:rsidRDefault="005D5405" w:rsidP="005D5405">
      <w:r w:rsidRPr="004C5EDB">
        <w:t>Only de-identified data is collected. The information collected includes:</w:t>
      </w:r>
    </w:p>
    <w:p w14:paraId="79E53FDD" w14:textId="77777777" w:rsidR="005D5405" w:rsidRPr="004C5EDB" w:rsidRDefault="005D5405" w:rsidP="005D5405"/>
    <w:p w14:paraId="6ACFFB31" w14:textId="41EE5151" w:rsidR="005D5405" w:rsidRPr="004C5EDB" w:rsidRDefault="005D5405" w:rsidP="000B6A67">
      <w:pPr>
        <w:pStyle w:val="ListParagraph"/>
        <w:numPr>
          <w:ilvl w:val="0"/>
          <w:numId w:val="10"/>
        </w:numPr>
        <w:ind w:left="426"/>
      </w:pPr>
      <w:r w:rsidRPr="004C5EDB">
        <w:t>Number of complaints</w:t>
      </w:r>
      <w:r w:rsidR="00F937C6">
        <w:t>.</w:t>
      </w:r>
    </w:p>
    <w:p w14:paraId="47E47505" w14:textId="6EB27966" w:rsidR="005D5405" w:rsidRPr="004C5EDB" w:rsidRDefault="005D5405" w:rsidP="000B6A67">
      <w:pPr>
        <w:pStyle w:val="ListParagraph"/>
        <w:numPr>
          <w:ilvl w:val="0"/>
          <w:numId w:val="10"/>
        </w:numPr>
        <w:ind w:left="426"/>
      </w:pPr>
      <w:r w:rsidRPr="004C5EDB">
        <w:t>Demographics of consumers</w:t>
      </w:r>
      <w:r w:rsidR="00F937C6">
        <w:t>.</w:t>
      </w:r>
    </w:p>
    <w:p w14:paraId="226A2226" w14:textId="4FE82A40" w:rsidR="005D5405" w:rsidRPr="004C5EDB" w:rsidRDefault="005D5405" w:rsidP="000B6A67">
      <w:pPr>
        <w:pStyle w:val="ListParagraph"/>
        <w:numPr>
          <w:ilvl w:val="0"/>
          <w:numId w:val="10"/>
        </w:numPr>
        <w:ind w:left="426"/>
      </w:pPr>
      <w:r w:rsidRPr="004C5EDB">
        <w:t>Complaint issues</w:t>
      </w:r>
      <w:r w:rsidR="00F937C6">
        <w:t>.</w:t>
      </w:r>
    </w:p>
    <w:p w14:paraId="5CACE3C5" w14:textId="18A9BE2E" w:rsidR="005D5405" w:rsidRPr="004C5EDB" w:rsidRDefault="005D5405" w:rsidP="000B6A67">
      <w:pPr>
        <w:pStyle w:val="ListParagraph"/>
        <w:numPr>
          <w:ilvl w:val="0"/>
          <w:numId w:val="10"/>
        </w:numPr>
        <w:ind w:left="426"/>
      </w:pPr>
      <w:r w:rsidRPr="004C5EDB">
        <w:t>Complaint outcomes</w:t>
      </w:r>
      <w:r w:rsidR="00F937C6">
        <w:t>.</w:t>
      </w:r>
    </w:p>
    <w:p w14:paraId="6FAADFD8" w14:textId="77777777" w:rsidR="005D5405" w:rsidRPr="004C5EDB" w:rsidRDefault="005D5405" w:rsidP="000B6A67">
      <w:pPr>
        <w:pStyle w:val="ListParagraph"/>
        <w:numPr>
          <w:ilvl w:val="0"/>
          <w:numId w:val="10"/>
        </w:numPr>
        <w:ind w:left="426"/>
      </w:pPr>
      <w:r w:rsidRPr="004C5EDB">
        <w:t>Timeliness of complaint resolution.</w:t>
      </w:r>
    </w:p>
    <w:p w14:paraId="095A5529" w14:textId="77777777" w:rsidR="005D5405" w:rsidRPr="004C5EDB" w:rsidRDefault="005D5405" w:rsidP="005D5405"/>
    <w:p w14:paraId="6981CAC0" w14:textId="77777777" w:rsidR="005D5405" w:rsidRPr="004C5EDB" w:rsidRDefault="005D5405" w:rsidP="005D5405">
      <w:r w:rsidRPr="004C5EDB">
        <w:t xml:space="preserve">The aggregate data received by HaDSCO includes all mental health complaints received by the public </w:t>
      </w:r>
      <w:r>
        <w:t>health service providers</w:t>
      </w:r>
      <w:r w:rsidRPr="004C5EDB">
        <w:t xml:space="preserve"> in 2017-18. The following preliminary analysis is based on the number of complaints received </w:t>
      </w:r>
      <w:r>
        <w:t>over the past three</w:t>
      </w:r>
      <w:r w:rsidRPr="004C5EDB">
        <w:t xml:space="preserve"> financial year</w:t>
      </w:r>
      <w:r>
        <w:t>s</w:t>
      </w:r>
      <w:r w:rsidRPr="004C5EDB">
        <w:t xml:space="preserve">.  </w:t>
      </w:r>
    </w:p>
    <w:p w14:paraId="334C252E" w14:textId="77777777" w:rsidR="005D5405" w:rsidRPr="004C5EDB" w:rsidRDefault="005D5405" w:rsidP="005D5405"/>
    <w:p w14:paraId="0B3B321A" w14:textId="4E285CC0" w:rsidR="005D5405" w:rsidRPr="004C5EDB" w:rsidRDefault="005D5405" w:rsidP="005D5405">
      <w:r w:rsidRPr="004C5EDB">
        <w:t xml:space="preserve">In 2017-18, details of </w:t>
      </w:r>
      <w:r>
        <w:t>429</w:t>
      </w:r>
      <w:r w:rsidRPr="004C5EDB">
        <w:t xml:space="preserve"> complaints concerning </w:t>
      </w:r>
      <w:r>
        <w:t>690</w:t>
      </w:r>
      <w:r w:rsidRPr="004C5EDB">
        <w:t xml:space="preserve"> issues were submitte</w:t>
      </w:r>
      <w:r>
        <w:t>d to HaDSCO. This represents a 6</w:t>
      </w:r>
      <w:r w:rsidRPr="004C5EDB">
        <w:t>% decrease from 2016-17 in the number of complaints received (</w:t>
      </w:r>
      <w:r>
        <w:t>458 complaints) and a 3</w:t>
      </w:r>
      <w:r w:rsidRPr="004C5EDB">
        <w:t>% decrease in the number of iss</w:t>
      </w:r>
      <w:r>
        <w:t>ues identified (713</w:t>
      </w:r>
      <w:r w:rsidR="00F937C6">
        <w:t> </w:t>
      </w:r>
      <w:r w:rsidRPr="004C5EDB">
        <w:t>issues).</w:t>
      </w:r>
    </w:p>
    <w:p w14:paraId="78FDC17F" w14:textId="77777777" w:rsidR="005D5405" w:rsidRPr="004C5EDB" w:rsidRDefault="005D5405" w:rsidP="005D5405"/>
    <w:p w14:paraId="39F50BDD" w14:textId="77777777" w:rsidR="005D5405" w:rsidRPr="004C5EDB" w:rsidRDefault="005D5405" w:rsidP="005D5405">
      <w:pPr>
        <w:rPr>
          <w:b/>
        </w:rPr>
      </w:pPr>
      <w:r w:rsidRPr="004C5EDB">
        <w:rPr>
          <w:b/>
        </w:rPr>
        <w:br w:type="page"/>
      </w:r>
    </w:p>
    <w:p w14:paraId="08D4F854" w14:textId="77777777" w:rsidR="005D5405" w:rsidRPr="004C5EDB" w:rsidRDefault="005D5405" w:rsidP="005D5405">
      <w:pPr>
        <w:rPr>
          <w:b/>
        </w:rPr>
      </w:pPr>
      <w:r w:rsidRPr="004C5EDB">
        <w:rPr>
          <w:b/>
        </w:rPr>
        <w:lastRenderedPageBreak/>
        <w:t>Individual making the complaint</w:t>
      </w:r>
    </w:p>
    <w:p w14:paraId="6D47563A" w14:textId="77777777" w:rsidR="005D5405" w:rsidRPr="004C5EDB" w:rsidRDefault="005D5405" w:rsidP="005D5405">
      <w:pPr>
        <w:rPr>
          <w:b/>
        </w:rPr>
      </w:pPr>
    </w:p>
    <w:p w14:paraId="64C3D33F" w14:textId="1BDD6BBB" w:rsidR="005D5405" w:rsidRPr="004C5EDB" w:rsidRDefault="005D5405" w:rsidP="005D5405">
      <w:pPr>
        <w:pStyle w:val="Normal-L3"/>
        <w:rPr>
          <w:rFonts w:eastAsiaTheme="majorEastAsia" w:cstheme="majorBidi"/>
          <w:bCs/>
          <w:color w:val="000000" w:themeColor="text1"/>
          <w:szCs w:val="24"/>
        </w:rPr>
      </w:pPr>
      <w:r>
        <w:rPr>
          <w:rFonts w:eastAsiaTheme="majorEastAsia" w:cstheme="majorBidi"/>
          <w:bCs/>
          <w:color w:val="000000" w:themeColor="text1"/>
          <w:szCs w:val="24"/>
        </w:rPr>
        <w:t>The proportion of</w:t>
      </w:r>
      <w:r w:rsidRPr="004C5EDB">
        <w:rPr>
          <w:rFonts w:eastAsiaTheme="majorEastAsia" w:cstheme="majorBidi"/>
          <w:bCs/>
          <w:color w:val="000000" w:themeColor="text1"/>
          <w:szCs w:val="24"/>
        </w:rPr>
        <w:t xml:space="preserve"> complaints </w:t>
      </w:r>
      <w:r>
        <w:rPr>
          <w:rFonts w:eastAsiaTheme="majorEastAsia" w:cstheme="majorBidi"/>
          <w:bCs/>
          <w:color w:val="000000" w:themeColor="text1"/>
          <w:szCs w:val="24"/>
        </w:rPr>
        <w:t xml:space="preserve">made by the person receiving the service shows a declining trend over the past three years; in 2017-18, complaints </w:t>
      </w:r>
      <w:r w:rsidRPr="004C5EDB">
        <w:rPr>
          <w:rFonts w:eastAsiaTheme="majorEastAsia" w:cstheme="majorBidi"/>
          <w:bCs/>
          <w:color w:val="000000" w:themeColor="text1"/>
          <w:szCs w:val="24"/>
        </w:rPr>
        <w:t xml:space="preserve">received directly by public health service providers </w:t>
      </w:r>
      <w:r>
        <w:rPr>
          <w:rFonts w:eastAsiaTheme="majorEastAsia" w:cstheme="majorBidi"/>
          <w:bCs/>
          <w:color w:val="000000" w:themeColor="text1"/>
          <w:szCs w:val="24"/>
        </w:rPr>
        <w:t>were equally likely to be made</w:t>
      </w:r>
      <w:r w:rsidRPr="004C5EDB">
        <w:rPr>
          <w:rFonts w:eastAsiaTheme="majorEastAsia" w:cstheme="majorBidi"/>
          <w:bCs/>
          <w:color w:val="000000" w:themeColor="text1"/>
          <w:szCs w:val="24"/>
        </w:rPr>
        <w:t xml:space="preserve"> by the individual who received the service</w:t>
      </w:r>
      <w:r>
        <w:rPr>
          <w:rFonts w:eastAsiaTheme="majorEastAsia" w:cstheme="majorBidi"/>
          <w:bCs/>
          <w:color w:val="000000" w:themeColor="text1"/>
          <w:szCs w:val="24"/>
        </w:rPr>
        <w:t xml:space="preserve"> or their representative (see Figure 42</w:t>
      </w:r>
      <w:r w:rsidRPr="004C5EDB">
        <w:rPr>
          <w:rFonts w:eastAsiaTheme="majorEastAsia" w:cstheme="majorBidi"/>
          <w:bCs/>
          <w:color w:val="000000" w:themeColor="text1"/>
          <w:szCs w:val="24"/>
        </w:rPr>
        <w:t>).</w:t>
      </w:r>
    </w:p>
    <w:p w14:paraId="478C128B" w14:textId="77777777" w:rsidR="005D5405" w:rsidRPr="004C5EDB" w:rsidRDefault="005D5405" w:rsidP="005D5405">
      <w:pPr>
        <w:pStyle w:val="Normal-L3"/>
        <w:rPr>
          <w:rFonts w:eastAsiaTheme="majorEastAsia" w:cstheme="majorBidi"/>
          <w:bCs/>
          <w:color w:val="000000" w:themeColor="text1"/>
          <w:szCs w:val="24"/>
        </w:rPr>
      </w:pPr>
    </w:p>
    <w:p w14:paraId="63B04598" w14:textId="49B95624" w:rsidR="005D5405" w:rsidRPr="004C5EDB" w:rsidRDefault="005D5405" w:rsidP="005D5405">
      <w:pPr>
        <w:pStyle w:val="Normal-L3"/>
        <w:spacing w:line="276" w:lineRule="auto"/>
        <w:jc w:val="both"/>
        <w:rPr>
          <w:rFonts w:eastAsiaTheme="majorEastAsia" w:cstheme="majorBidi"/>
          <w:b/>
          <w:bCs/>
          <w:color w:val="000000" w:themeColor="text1"/>
          <w:szCs w:val="24"/>
        </w:rPr>
      </w:pPr>
      <w:r>
        <w:rPr>
          <w:rFonts w:eastAsiaTheme="majorEastAsia" w:cstheme="majorBidi"/>
          <w:b/>
          <w:bCs/>
          <w:color w:val="000000" w:themeColor="text1"/>
          <w:szCs w:val="24"/>
        </w:rPr>
        <w:t>Figure 42</w:t>
      </w:r>
      <w:r w:rsidRPr="004C5EDB">
        <w:rPr>
          <w:rFonts w:eastAsiaTheme="majorEastAsia" w:cstheme="majorBidi"/>
          <w:b/>
          <w:bCs/>
          <w:color w:val="000000" w:themeColor="text1"/>
          <w:szCs w:val="24"/>
        </w:rPr>
        <w:t xml:space="preserve">: Individual making the complaint </w:t>
      </w:r>
    </w:p>
    <w:p w14:paraId="7C6AD605" w14:textId="77777777" w:rsidR="005D5405" w:rsidRPr="004C5EDB" w:rsidRDefault="005D5405" w:rsidP="005D5405">
      <w:r w:rsidRPr="004C5EDB">
        <w:rPr>
          <w:noProof/>
          <w:lang w:eastAsia="en-AU"/>
        </w:rPr>
        <w:drawing>
          <wp:inline distT="0" distB="0" distL="0" distR="0" wp14:anchorId="0B23A8AC" wp14:editId="45B01B31">
            <wp:extent cx="4545496" cy="1934817"/>
            <wp:effectExtent l="0" t="0" r="26670" b="27940"/>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9A17D0C" w14:textId="77777777" w:rsidR="005D5405" w:rsidRDefault="005D5405" w:rsidP="005D5405">
      <w:pPr>
        <w:rPr>
          <w:b/>
        </w:rPr>
      </w:pPr>
    </w:p>
    <w:p w14:paraId="70F65142" w14:textId="77777777" w:rsidR="003F597E" w:rsidRDefault="003F597E" w:rsidP="005D5405">
      <w:pPr>
        <w:rPr>
          <w:b/>
        </w:rPr>
        <w:sectPr w:rsidR="003F597E" w:rsidSect="00525940">
          <w:pgSz w:w="11907" w:h="16840" w:code="9"/>
          <w:pgMar w:top="1134" w:right="1440" w:bottom="1440" w:left="1440" w:header="720" w:footer="709" w:gutter="0"/>
          <w:cols w:space="720"/>
          <w:titlePg/>
          <w:docGrid w:linePitch="326"/>
        </w:sectPr>
      </w:pPr>
    </w:p>
    <w:p w14:paraId="0575E9E6" w14:textId="3A61E94E" w:rsidR="003F597E" w:rsidRDefault="007600C4" w:rsidP="007600C4">
      <w:pPr>
        <w:spacing w:before="240" w:after="240"/>
        <w:ind w:firstLine="1276"/>
        <w:jc w:val="both"/>
        <w:rPr>
          <w:b/>
        </w:rPr>
      </w:pPr>
      <w:r w:rsidRPr="007600C4">
        <w:rPr>
          <w:b/>
          <w:noProof/>
          <w:lang w:eastAsia="en-AU"/>
        </w:rPr>
        <w:lastRenderedPageBreak/>
        <mc:AlternateContent>
          <mc:Choice Requires="wps">
            <w:drawing>
              <wp:anchor distT="0" distB="0" distL="114300" distR="114300" simplePos="0" relativeHeight="252731392" behindDoc="1" locked="0" layoutInCell="1" allowOverlap="1" wp14:anchorId="61EE24E3" wp14:editId="109E5B93">
                <wp:simplePos x="0" y="0"/>
                <wp:positionH relativeFrom="margin">
                  <wp:posOffset>-76200</wp:posOffset>
                </wp:positionH>
                <wp:positionV relativeFrom="paragraph">
                  <wp:posOffset>185901</wp:posOffset>
                </wp:positionV>
                <wp:extent cx="5823284" cy="5355737"/>
                <wp:effectExtent l="0" t="0" r="25400" b="16510"/>
                <wp:wrapNone/>
                <wp:docPr id="96" name="Rectangle 96"/>
                <wp:cNvGraphicFramePr/>
                <a:graphic xmlns:a="http://schemas.openxmlformats.org/drawingml/2006/main">
                  <a:graphicData uri="http://schemas.microsoft.com/office/word/2010/wordprocessingShape">
                    <wps:wsp>
                      <wps:cNvSpPr/>
                      <wps:spPr>
                        <a:xfrm>
                          <a:off x="0" y="0"/>
                          <a:ext cx="5823284" cy="5355737"/>
                        </a:xfrm>
                        <a:prstGeom prst="rect">
                          <a:avLst/>
                        </a:prstGeom>
                        <a:solidFill>
                          <a:schemeClr val="bg1">
                            <a:lumMod val="75000"/>
                            <a:alpha val="40000"/>
                          </a:schemeClr>
                        </a:solidFill>
                        <a:ln w="254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96" o:spid="_x0000_s1026" style="position:absolute;margin-left:-6pt;margin-top:14.65pt;width:458.55pt;height:421.7pt;z-index:-250585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" fillcolor="#bfbfbf [2412]" strokecolor="#002060" strokeweight="2pt">
                <v:fill opacity="26214f"/>
                <w10:wrap anchorx="margin"/>
              </v:rect>
            </w:pict>
          </mc:Fallback>
        </mc:AlternateContent>
      </w:r>
      <w:r w:rsidRPr="007600C4">
        <w:rPr>
          <w:b/>
          <w:noProof/>
          <w:lang w:eastAsia="en-AU"/>
        </w:rPr>
        <w:drawing>
          <wp:anchor distT="0" distB="0" distL="114300" distR="114300" simplePos="0" relativeHeight="252732416" behindDoc="0" locked="0" layoutInCell="1" allowOverlap="1" wp14:anchorId="00DAE96D" wp14:editId="59403039">
            <wp:simplePos x="0" y="0"/>
            <wp:positionH relativeFrom="margin">
              <wp:posOffset>160020</wp:posOffset>
            </wp:positionH>
            <wp:positionV relativeFrom="paragraph">
              <wp:posOffset>303530</wp:posOffset>
            </wp:positionV>
            <wp:extent cx="613410" cy="625475"/>
            <wp:effectExtent l="0" t="0" r="0" b="3175"/>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3410" cy="625475"/>
                    </a:xfrm>
                    <a:prstGeom prst="rect">
                      <a:avLst/>
                    </a:prstGeom>
                  </pic:spPr>
                </pic:pic>
              </a:graphicData>
            </a:graphic>
            <wp14:sizeRelH relativeFrom="page">
              <wp14:pctWidth>0</wp14:pctWidth>
            </wp14:sizeRelH>
            <wp14:sizeRelV relativeFrom="page">
              <wp14:pctHeight>0</wp14:pctHeight>
            </wp14:sizeRelV>
          </wp:anchor>
        </w:drawing>
      </w:r>
    </w:p>
    <w:p w14:paraId="32A7EB1E" w14:textId="5FEE2EB5" w:rsidR="003F597E" w:rsidRDefault="003F597E" w:rsidP="003F597E">
      <w:pPr>
        <w:spacing w:before="360" w:after="480"/>
        <w:ind w:firstLine="1276"/>
        <w:jc w:val="both"/>
        <w:rPr>
          <w:b/>
        </w:rPr>
      </w:pPr>
      <w:r>
        <w:rPr>
          <w:b/>
        </w:rPr>
        <w:t>CASE STUDY</w:t>
      </w:r>
    </w:p>
    <w:p w14:paraId="6EF3B4E3" w14:textId="77777777" w:rsidR="003F597E" w:rsidRPr="00F97FDE" w:rsidRDefault="003F597E" w:rsidP="003F597E">
      <w:pPr>
        <w:rPr>
          <w:b/>
          <w:i/>
        </w:rPr>
      </w:pPr>
      <w:r w:rsidRPr="00F97FDE">
        <w:rPr>
          <w:b/>
          <w:i/>
        </w:rPr>
        <w:t>Charter of Mental Health Principles - Individual rights, respect and dignity</w:t>
      </w:r>
    </w:p>
    <w:p w14:paraId="166F6440" w14:textId="776E68EF" w:rsidR="003F597E" w:rsidRDefault="003F597E" w:rsidP="0076453E">
      <w:pPr>
        <w:spacing w:before="120"/>
      </w:pPr>
      <w:r>
        <w:t xml:space="preserve">An individual was admitted to a mental health unit. </w:t>
      </w:r>
      <w:r w:rsidR="00296BFA">
        <w:t>They</w:t>
      </w:r>
      <w:r>
        <w:t xml:space="preserve"> lodged a complaint with the health service provider stating that </w:t>
      </w:r>
      <w:r w:rsidR="00296BFA">
        <w:t>their</w:t>
      </w:r>
      <w:r>
        <w:t xml:space="preserve"> mobile phone was taken off </w:t>
      </w:r>
      <w:r w:rsidR="00296BFA">
        <w:t>them</w:t>
      </w:r>
      <w:r>
        <w:t xml:space="preserve"> at night, without the appropriate process and approval of a psychiatrist, as required under the </w:t>
      </w:r>
      <w:r w:rsidRPr="003E1498">
        <w:rPr>
          <w:i/>
        </w:rPr>
        <w:t>Mental Health Act 2014</w:t>
      </w:r>
      <w:r>
        <w:t xml:space="preserve">. </w:t>
      </w:r>
    </w:p>
    <w:p w14:paraId="4A65A16C" w14:textId="77777777" w:rsidR="003F597E" w:rsidRDefault="003F597E" w:rsidP="0076453E">
      <w:pPr>
        <w:spacing w:before="120"/>
      </w:pPr>
      <w:r>
        <w:t>The service provider responded to the complaint which included an explanation that the phone was removed for a short period of time to encourage and support sleep during the night. Further, it was stated that the phone was returned during the night.</w:t>
      </w:r>
    </w:p>
    <w:p w14:paraId="09FBAC2A" w14:textId="07657C21" w:rsidR="0076453E" w:rsidRDefault="003F597E" w:rsidP="0076453E">
      <w:pPr>
        <w:spacing w:before="120"/>
      </w:pPr>
      <w:r>
        <w:t>The individual disagreed with the provider’s response and lodged a c</w:t>
      </w:r>
      <w:r w:rsidR="00296BFA">
        <w:t>omplaint with HaDSCO stating</w:t>
      </w:r>
      <w:r>
        <w:t xml:space="preserve"> that </w:t>
      </w:r>
      <w:r w:rsidR="00296BFA">
        <w:t>they</w:t>
      </w:r>
      <w:r>
        <w:t xml:space="preserve"> did not consent to </w:t>
      </w:r>
      <w:r w:rsidR="00296BFA">
        <w:t>the</w:t>
      </w:r>
      <w:r>
        <w:t xml:space="preserve"> phone being removed and that the phone </w:t>
      </w:r>
      <w:r w:rsidR="0076453E">
        <w:br w:type="column"/>
      </w:r>
      <w:r w:rsidR="0076453E">
        <w:lastRenderedPageBreak/>
        <w:br/>
      </w:r>
      <w:r w:rsidR="0076453E">
        <w:br/>
      </w:r>
      <w:r w:rsidR="00296BFA">
        <w:t xml:space="preserve">was not returned </w:t>
      </w:r>
      <w:r>
        <w:t xml:space="preserve">until mid-morning when </w:t>
      </w:r>
      <w:r w:rsidR="00296BFA">
        <w:t>an</w:t>
      </w:r>
      <w:r>
        <w:t xml:space="preserve"> advocate requested that it was returned.</w:t>
      </w:r>
      <w:r w:rsidR="0076453E">
        <w:rPr>
          <w:b/>
          <w:noProof/>
          <w:lang w:eastAsia="en-AU"/>
        </w:rPr>
        <w:t xml:space="preserve"> </w:t>
      </w:r>
      <w:r>
        <w:t xml:space="preserve">HaDSCO facilitated a further response from the service provider addressing the </w:t>
      </w:r>
      <w:r w:rsidR="00296BFA">
        <w:t>individual’s</w:t>
      </w:r>
      <w:r>
        <w:t xml:space="preserve"> concerns. </w:t>
      </w:r>
    </w:p>
    <w:p w14:paraId="37EE9296" w14:textId="17087A36" w:rsidR="003F597E" w:rsidRPr="0076453E" w:rsidRDefault="003F597E" w:rsidP="0076453E">
      <w:pPr>
        <w:spacing w:before="120"/>
        <w:rPr>
          <w:b/>
          <w:noProof/>
          <w:lang w:eastAsia="en-AU"/>
        </w:rPr>
      </w:pPr>
      <w:r>
        <w:t xml:space="preserve">As a result of HaDSCO’s involvement, the service provider acknowledged that the time that was stated in their response letter that the phone was returned to the complainant was not correct and offered an unreserved apology for the incident. </w:t>
      </w:r>
    </w:p>
    <w:p w14:paraId="34984CE9" w14:textId="5F190339" w:rsidR="003F597E" w:rsidRPr="003F597E" w:rsidRDefault="003F597E" w:rsidP="0076453E">
      <w:pPr>
        <w:spacing w:before="120"/>
      </w:pPr>
      <w:r>
        <w:t xml:space="preserve">The service provider also agreed to provide further education to senior nursing staff regarding the importance of completing the relevant forms and obtaining the appropriate approval to remove patient property. Two recommendations were made to the service provider, that all staff be reminded of the importance of documenting information in the patient medical record and that the complaint </w:t>
      </w:r>
      <w:r w:rsidR="002A1E37">
        <w:t>would be</w:t>
      </w:r>
      <w:r>
        <w:t xml:space="preserve"> used as a de-identified case study for staff education and training purposes.</w:t>
      </w:r>
    </w:p>
    <w:p w14:paraId="317EE5F1" w14:textId="77777777" w:rsidR="003F597E" w:rsidRDefault="003F597E" w:rsidP="005D5405">
      <w:pPr>
        <w:rPr>
          <w:b/>
        </w:rPr>
        <w:sectPr w:rsidR="003F597E" w:rsidSect="007600C4">
          <w:type w:val="continuous"/>
          <w:pgSz w:w="11907" w:h="16840" w:code="9"/>
          <w:pgMar w:top="1134" w:right="1440" w:bottom="1440" w:left="1560" w:header="720" w:footer="709" w:gutter="0"/>
          <w:cols w:num="2" w:space="720"/>
          <w:titlePg/>
          <w:docGrid w:linePitch="326"/>
        </w:sectPr>
      </w:pPr>
    </w:p>
    <w:p w14:paraId="44D1CF39" w14:textId="77777777" w:rsidR="005D5405" w:rsidRPr="004C5EDB" w:rsidRDefault="005D5405" w:rsidP="005D5405">
      <w:pPr>
        <w:rPr>
          <w:b/>
        </w:rPr>
      </w:pPr>
      <w:r w:rsidRPr="004C5EDB">
        <w:rPr>
          <w:b/>
        </w:rPr>
        <w:lastRenderedPageBreak/>
        <w:t xml:space="preserve">Time taken to resolve complaints </w:t>
      </w:r>
    </w:p>
    <w:p w14:paraId="40078710" w14:textId="77777777" w:rsidR="005D5405" w:rsidRPr="004C5EDB" w:rsidRDefault="005D5405" w:rsidP="005D5405">
      <w:pPr>
        <w:rPr>
          <w:b/>
        </w:rPr>
      </w:pPr>
    </w:p>
    <w:p w14:paraId="7BD543FB" w14:textId="3F7FCEEB" w:rsidR="005D5405" w:rsidRPr="004C5EDB" w:rsidRDefault="005D5405" w:rsidP="005D5405">
      <w:r w:rsidRPr="004C5EDB">
        <w:t xml:space="preserve">The time taken for public health service providers to resolve </w:t>
      </w:r>
      <w:r>
        <w:t xml:space="preserve">mental health </w:t>
      </w:r>
      <w:r w:rsidRPr="004C5EDB">
        <w:t xml:space="preserve">complaints </w:t>
      </w:r>
      <w:r>
        <w:t>over the past three years is shown in Figure 43</w:t>
      </w:r>
      <w:r w:rsidRPr="004C5EDB">
        <w:t>.</w:t>
      </w:r>
      <w:r>
        <w:t xml:space="preserve"> In 2017-18, the majority of complaints (7</w:t>
      </w:r>
      <w:r w:rsidRPr="004C5EDB">
        <w:t>6%) received directly by public health service providers were resolved in 30 days or less.</w:t>
      </w:r>
      <w:r w:rsidRPr="004C5EDB">
        <w:br/>
      </w:r>
    </w:p>
    <w:p w14:paraId="3F9DE5DA" w14:textId="5D213FE2" w:rsidR="005D5405" w:rsidRPr="004C5EDB" w:rsidRDefault="005D5405" w:rsidP="005D5405">
      <w:pPr>
        <w:rPr>
          <w:b/>
        </w:rPr>
      </w:pPr>
      <w:r>
        <w:rPr>
          <w:b/>
        </w:rPr>
        <w:t>Figure 43</w:t>
      </w:r>
      <w:r w:rsidRPr="004C5EDB">
        <w:rPr>
          <w:b/>
        </w:rPr>
        <w:t>: Time taken to resolve complaints</w:t>
      </w:r>
    </w:p>
    <w:p w14:paraId="2787A4CD" w14:textId="77777777" w:rsidR="005D5405" w:rsidRPr="004C5EDB" w:rsidRDefault="005D5405" w:rsidP="005D5405">
      <w:pPr>
        <w:rPr>
          <w:b/>
        </w:rPr>
      </w:pPr>
      <w:r w:rsidRPr="004C5EDB">
        <w:rPr>
          <w:noProof/>
          <w:lang w:eastAsia="en-AU"/>
        </w:rPr>
        <w:drawing>
          <wp:inline distT="0" distB="0" distL="0" distR="0" wp14:anchorId="187068CF" wp14:editId="2B718C5E">
            <wp:extent cx="5105400" cy="4676775"/>
            <wp:effectExtent l="0" t="0" r="19050" b="9525"/>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9CA26B0" w14:textId="77777777" w:rsidR="005D5405" w:rsidRDefault="005D5405" w:rsidP="005D5405">
      <w:pPr>
        <w:rPr>
          <w:i/>
          <w:sz w:val="16"/>
          <w:szCs w:val="16"/>
        </w:rPr>
      </w:pPr>
    </w:p>
    <w:p w14:paraId="7B3AFC16" w14:textId="77777777" w:rsidR="005D5405" w:rsidRDefault="005D5405" w:rsidP="005D5405">
      <w:pPr>
        <w:rPr>
          <w:b/>
        </w:rPr>
      </w:pPr>
      <w:r>
        <w:rPr>
          <w:i/>
          <w:sz w:val="16"/>
          <w:szCs w:val="16"/>
        </w:rPr>
        <w:t>Totals may not sum to 100% due to rounding.</w:t>
      </w:r>
    </w:p>
    <w:p w14:paraId="20E5C324" w14:textId="77777777" w:rsidR="005D5405" w:rsidRPr="004C5EDB" w:rsidRDefault="005D5405" w:rsidP="005D5405">
      <w:pPr>
        <w:rPr>
          <w:b/>
        </w:rPr>
      </w:pPr>
    </w:p>
    <w:p w14:paraId="297C0C2E" w14:textId="77777777" w:rsidR="005D5405" w:rsidRDefault="005D5405" w:rsidP="005D5405">
      <w:pPr>
        <w:spacing w:after="200" w:line="276" w:lineRule="auto"/>
        <w:rPr>
          <w:b/>
        </w:rPr>
      </w:pPr>
      <w:r>
        <w:rPr>
          <w:b/>
        </w:rPr>
        <w:br w:type="page"/>
      </w:r>
    </w:p>
    <w:p w14:paraId="16EBFADC" w14:textId="77777777" w:rsidR="005D5405" w:rsidRPr="004C5EDB" w:rsidRDefault="005D5405" w:rsidP="005D5405">
      <w:pPr>
        <w:rPr>
          <w:b/>
        </w:rPr>
      </w:pPr>
      <w:r w:rsidRPr="004C5EDB">
        <w:rPr>
          <w:b/>
        </w:rPr>
        <w:lastRenderedPageBreak/>
        <w:t>Issues identified</w:t>
      </w:r>
    </w:p>
    <w:p w14:paraId="76037B99" w14:textId="77777777" w:rsidR="005D5405" w:rsidRPr="004C5EDB" w:rsidRDefault="005D5405" w:rsidP="005D5405">
      <w:pPr>
        <w:rPr>
          <w:b/>
        </w:rPr>
      </w:pPr>
    </w:p>
    <w:p w14:paraId="7EA986D4" w14:textId="53CD1E6A" w:rsidR="005D5405" w:rsidRPr="004C5EDB" w:rsidRDefault="001D7743" w:rsidP="005D5405">
      <w:r>
        <w:t>In 2017-18</w:t>
      </w:r>
      <w:r w:rsidR="005D5405">
        <w:t>,</w:t>
      </w:r>
      <w:r w:rsidR="005D5405" w:rsidRPr="004C5EDB">
        <w:t xml:space="preserve"> </w:t>
      </w:r>
      <w:r w:rsidR="005D5405">
        <w:t>q</w:t>
      </w:r>
      <w:r w:rsidR="005D5405" w:rsidRPr="004C5EDB">
        <w:t>uality of clinical care</w:t>
      </w:r>
      <w:r w:rsidR="005D5405">
        <w:t xml:space="preserve"> (32</w:t>
      </w:r>
      <w:r w:rsidR="005D5405" w:rsidRPr="004C5EDB">
        <w:t>%), communication with patients and their representatives</w:t>
      </w:r>
      <w:r w:rsidR="005D5405">
        <w:t xml:space="preserve"> (24</w:t>
      </w:r>
      <w:r w:rsidR="005D5405" w:rsidRPr="004C5EDB">
        <w:t xml:space="preserve">%), access to services </w:t>
      </w:r>
      <w:r w:rsidR="005D5405">
        <w:t>(13</w:t>
      </w:r>
      <w:r w:rsidR="005D5405" w:rsidRPr="004C5EDB">
        <w:t>%)</w:t>
      </w:r>
      <w:r w:rsidR="005D5405">
        <w:t xml:space="preserve">, and </w:t>
      </w:r>
      <w:r w:rsidR="005D5405" w:rsidRPr="004C5EDB">
        <w:t>rights, respect and dignity</w:t>
      </w:r>
      <w:r w:rsidR="005D5405">
        <w:t xml:space="preserve"> (11%) were </w:t>
      </w:r>
      <w:r w:rsidR="005D5405" w:rsidRPr="004C5EDB">
        <w:t xml:space="preserve">the issues most commonly identified in </w:t>
      </w:r>
      <w:r w:rsidR="005D5405">
        <w:t xml:space="preserve">mental health </w:t>
      </w:r>
      <w:r w:rsidR="005D5405" w:rsidRPr="004C5EDB">
        <w:t xml:space="preserve">complaints. The proportion of complaints concerning </w:t>
      </w:r>
      <w:r w:rsidR="005D5405">
        <w:t>access increased from 8% in 2016-17 to 13% in 2017-18, while the proportion of complaints concerning rights, respect and dignity shows a declining trend over the past three years.</w:t>
      </w:r>
    </w:p>
    <w:p w14:paraId="48A66295" w14:textId="77777777" w:rsidR="005D5405" w:rsidRPr="004C5EDB" w:rsidRDefault="005D5405" w:rsidP="005D5405"/>
    <w:p w14:paraId="3220D9CD" w14:textId="2D017E1C" w:rsidR="005D5405" w:rsidRPr="004C5EDB" w:rsidRDefault="005D5405" w:rsidP="005D5405">
      <w:r w:rsidRPr="004C5EDB">
        <w:t xml:space="preserve">The issues identified in mental health complaints received by public health service providers </w:t>
      </w:r>
      <w:r>
        <w:t>over the past three years are shown in Figure 44</w:t>
      </w:r>
      <w:r w:rsidRPr="004C5EDB">
        <w:t>.</w:t>
      </w:r>
    </w:p>
    <w:p w14:paraId="315067FD" w14:textId="77777777" w:rsidR="005D5405" w:rsidRPr="004C5EDB" w:rsidRDefault="005D5405" w:rsidP="005D5405"/>
    <w:p w14:paraId="1E40AEF9" w14:textId="229D0F6C" w:rsidR="005D5405" w:rsidRPr="004C5EDB" w:rsidRDefault="005D5405" w:rsidP="005D5405">
      <w:pPr>
        <w:rPr>
          <w:b/>
        </w:rPr>
      </w:pPr>
      <w:r w:rsidRPr="00973704">
        <w:rPr>
          <w:b/>
        </w:rPr>
        <w:t>Figure 44: Issues identified</w:t>
      </w:r>
      <w:r w:rsidRPr="004C5EDB">
        <w:rPr>
          <w:b/>
        </w:rPr>
        <w:t xml:space="preserve"> </w:t>
      </w:r>
    </w:p>
    <w:p w14:paraId="5A8E842B" w14:textId="77777777" w:rsidR="005D5405" w:rsidRPr="004C5EDB" w:rsidRDefault="005D5405" w:rsidP="005D5405">
      <w:r w:rsidRPr="004C5EDB">
        <w:rPr>
          <w:noProof/>
          <w:lang w:eastAsia="en-AU"/>
        </w:rPr>
        <w:drawing>
          <wp:inline distT="0" distB="0" distL="0" distR="0" wp14:anchorId="28715CFC" wp14:editId="2008F096">
            <wp:extent cx="5105400" cy="4788000"/>
            <wp:effectExtent l="0" t="0" r="19050" b="1270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105BE34" w14:textId="77777777" w:rsidR="005D5405" w:rsidRDefault="005D5405" w:rsidP="005D5405">
      <w:pPr>
        <w:rPr>
          <w:i/>
          <w:sz w:val="16"/>
          <w:szCs w:val="16"/>
        </w:rPr>
      </w:pPr>
    </w:p>
    <w:p w14:paraId="145EBA18" w14:textId="77777777" w:rsidR="005D5405" w:rsidRDefault="005D5405" w:rsidP="005D5405">
      <w:pPr>
        <w:rPr>
          <w:b/>
        </w:rPr>
      </w:pPr>
      <w:r>
        <w:rPr>
          <w:i/>
          <w:sz w:val="16"/>
          <w:szCs w:val="16"/>
        </w:rPr>
        <w:t>Totals may not sum to 100% due to rounding.</w:t>
      </w:r>
    </w:p>
    <w:p w14:paraId="24A59419" w14:textId="77777777" w:rsidR="005D5405" w:rsidRPr="004C5EDB" w:rsidRDefault="005D5405" w:rsidP="005D5405"/>
    <w:p w14:paraId="7F2F4A56" w14:textId="77777777" w:rsidR="005D5405" w:rsidRPr="004C5EDB" w:rsidRDefault="005D5405" w:rsidP="005D5405"/>
    <w:p w14:paraId="5443BB7A" w14:textId="77777777" w:rsidR="005D5405" w:rsidRPr="004C5EDB" w:rsidRDefault="005D5405" w:rsidP="005D5405">
      <w:pPr>
        <w:spacing w:after="200" w:line="276" w:lineRule="auto"/>
        <w:rPr>
          <w:b/>
        </w:rPr>
      </w:pPr>
      <w:r w:rsidRPr="004C5EDB">
        <w:rPr>
          <w:b/>
        </w:rPr>
        <w:br w:type="page"/>
      </w:r>
    </w:p>
    <w:p w14:paraId="457C2949" w14:textId="77777777" w:rsidR="005D5405" w:rsidRPr="004C5EDB" w:rsidRDefault="005D5405" w:rsidP="005D5405">
      <w:pPr>
        <w:rPr>
          <w:b/>
        </w:rPr>
      </w:pPr>
      <w:r w:rsidRPr="004C5EDB">
        <w:rPr>
          <w:b/>
        </w:rPr>
        <w:lastRenderedPageBreak/>
        <w:t xml:space="preserve">Outcomes achieved </w:t>
      </w:r>
    </w:p>
    <w:p w14:paraId="4748B9EC" w14:textId="77777777" w:rsidR="005D5405" w:rsidRPr="004C5EDB" w:rsidRDefault="005D5405" w:rsidP="005D5405">
      <w:pPr>
        <w:rPr>
          <w:b/>
        </w:rPr>
      </w:pPr>
    </w:p>
    <w:p w14:paraId="4C117BDC" w14:textId="30AC00B1" w:rsidR="005D5405" w:rsidRPr="004C5EDB" w:rsidRDefault="005D5405" w:rsidP="005D5405">
      <w:r w:rsidRPr="004C5EDB">
        <w:t xml:space="preserve">A range of outcomes were achieved from the mental health complaints managed by public health service providers. </w:t>
      </w:r>
      <w:r>
        <w:t>Over the past three years there has been no change to the three most common outcomes resulting from complaints; providi</w:t>
      </w:r>
      <w:r w:rsidR="00F937C6">
        <w:t>ng an apology; providing an explanation;</w:t>
      </w:r>
      <w:r w:rsidRPr="004C5EDB">
        <w:t xml:space="preserve"> or </w:t>
      </w:r>
      <w:r>
        <w:t>concern registered (</w:t>
      </w:r>
      <w:r w:rsidRPr="004C5EDB">
        <w:t>acknowledging the concerns that resulted in a complaint being made</w:t>
      </w:r>
      <w:r>
        <w:t>)</w:t>
      </w:r>
      <w:r w:rsidRPr="004C5EDB">
        <w:t>. While these remained the most c</w:t>
      </w:r>
      <w:r>
        <w:t>ommon outcomes over the past three</w:t>
      </w:r>
      <w:r w:rsidRPr="004C5EDB">
        <w:t xml:space="preserve"> years, there </w:t>
      </w:r>
      <w:r>
        <w:t>has been a declining trend</w:t>
      </w:r>
      <w:r w:rsidRPr="004C5EDB">
        <w:t xml:space="preserve"> in the proportion of complaints resulting in an explanation </w:t>
      </w:r>
      <w:r>
        <w:t>and an increasing trend in the proportion of complaints resulting in concern being registered.</w:t>
      </w:r>
    </w:p>
    <w:p w14:paraId="55C97AB1" w14:textId="77777777" w:rsidR="005D5405" w:rsidRPr="004C5EDB" w:rsidRDefault="005D5405" w:rsidP="005D5405"/>
    <w:p w14:paraId="2D74B4FD" w14:textId="1B991BBF" w:rsidR="005D5405" w:rsidRPr="004C5EDB" w:rsidRDefault="005D5405" w:rsidP="005D5405">
      <w:r w:rsidRPr="004C5EDB">
        <w:t xml:space="preserve">The outcomes achieved in complaints received by mental health service providers </w:t>
      </w:r>
      <w:r>
        <w:t xml:space="preserve">over the past three years </w:t>
      </w:r>
      <w:r w:rsidRPr="004C5EDB">
        <w:t>are shown in Fig</w:t>
      </w:r>
      <w:r>
        <w:t>ure 45</w:t>
      </w:r>
      <w:r w:rsidRPr="004C5EDB">
        <w:t>.</w:t>
      </w:r>
    </w:p>
    <w:p w14:paraId="71501BD5" w14:textId="77777777" w:rsidR="005D5405" w:rsidRPr="004C5EDB" w:rsidRDefault="005D5405" w:rsidP="005D5405">
      <w:pPr>
        <w:rPr>
          <w:b/>
        </w:rPr>
      </w:pPr>
    </w:p>
    <w:p w14:paraId="2948B6FD" w14:textId="2CF0EF38" w:rsidR="005D5405" w:rsidRPr="004C5EDB" w:rsidRDefault="005D5405" w:rsidP="005D5405">
      <w:pPr>
        <w:rPr>
          <w:b/>
        </w:rPr>
      </w:pPr>
      <w:r>
        <w:rPr>
          <w:b/>
        </w:rPr>
        <w:t>Figure 45</w:t>
      </w:r>
      <w:r w:rsidRPr="004C5EDB">
        <w:rPr>
          <w:b/>
        </w:rPr>
        <w:t>: Outcomes achieved</w:t>
      </w:r>
    </w:p>
    <w:p w14:paraId="65A0BE15" w14:textId="77777777" w:rsidR="005D5405" w:rsidRPr="004C5EDB" w:rsidRDefault="005D5405" w:rsidP="005D5405">
      <w:r w:rsidRPr="004C5EDB">
        <w:rPr>
          <w:noProof/>
          <w:lang w:eastAsia="en-AU"/>
        </w:rPr>
        <w:drawing>
          <wp:inline distT="0" distB="0" distL="0" distR="0" wp14:anchorId="0903C69D" wp14:editId="70E7347F">
            <wp:extent cx="6010275" cy="5976000"/>
            <wp:effectExtent l="0" t="0" r="9525" b="2476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94C24B4" w14:textId="62A911FB" w:rsidR="00893338" w:rsidRPr="003054BA" w:rsidRDefault="005D5405" w:rsidP="005D5405">
      <w:r w:rsidRPr="00894D5D">
        <w:rPr>
          <w:color w:val="000000"/>
          <w:sz w:val="16"/>
          <w:szCs w:val="16"/>
          <w:lang w:eastAsia="en-AU"/>
        </w:rPr>
        <w:t>*Other outcomes include referral to another organisation.</w:t>
      </w:r>
      <w:r>
        <w:rPr>
          <w:color w:val="000000"/>
          <w:sz w:val="16"/>
          <w:szCs w:val="16"/>
          <w:lang w:eastAsia="en-AU"/>
        </w:rPr>
        <w:t xml:space="preserve"> </w:t>
      </w:r>
      <w:r>
        <w:rPr>
          <w:i/>
          <w:sz w:val="16"/>
          <w:szCs w:val="16"/>
        </w:rPr>
        <w:t>Totals may not sum to 100% due to rounding.</w:t>
      </w:r>
    </w:p>
    <w:p w14:paraId="292908E0" w14:textId="77777777" w:rsidR="00893338" w:rsidRDefault="00893338" w:rsidP="005A3690">
      <w:pPr>
        <w:spacing w:after="200" w:line="276" w:lineRule="auto"/>
        <w:rPr>
          <w:b/>
          <w:color w:val="5F5F5F"/>
          <w:spacing w:val="-20"/>
          <w:sz w:val="36"/>
          <w:szCs w:val="28"/>
        </w:rPr>
      </w:pPr>
    </w:p>
    <w:p w14:paraId="26463A0A" w14:textId="77777777" w:rsidR="00893338" w:rsidRPr="005A3690" w:rsidRDefault="00EC150D" w:rsidP="005A3690">
      <w:pPr>
        <w:spacing w:after="200" w:line="276" w:lineRule="auto"/>
        <w:rPr>
          <w:b/>
          <w:color w:val="5F5F5F"/>
          <w:spacing w:val="-20"/>
          <w:sz w:val="36"/>
          <w:szCs w:val="28"/>
        </w:rPr>
      </w:pPr>
      <w:r>
        <w:rPr>
          <w:b/>
          <w:noProof/>
          <w:color w:val="5F5F5F"/>
          <w:spacing w:val="-20"/>
          <w:sz w:val="36"/>
          <w:szCs w:val="28"/>
          <w:lang w:eastAsia="en-AU"/>
        </w:rPr>
        <w:lastRenderedPageBreak/>
        <w:drawing>
          <wp:anchor distT="0" distB="0" distL="114300" distR="114300" simplePos="0" relativeHeight="252442624" behindDoc="0" locked="0" layoutInCell="1" allowOverlap="1" wp14:anchorId="33E89072" wp14:editId="1D2384EB">
            <wp:simplePos x="0" y="0"/>
            <wp:positionH relativeFrom="column">
              <wp:posOffset>980440</wp:posOffset>
            </wp:positionH>
            <wp:positionV relativeFrom="paragraph">
              <wp:posOffset>299381</wp:posOffset>
            </wp:positionV>
            <wp:extent cx="4965192" cy="1005840"/>
            <wp:effectExtent l="0" t="0" r="6985" b="381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ucate and train_wave and title.jpg"/>
                    <pic:cNvPicPr/>
                  </pic:nvPicPr>
                  <pic:blipFill>
                    <a:blip r:embed="rId74">
                      <a:extLst>
                        <a:ext uri="{28A0092B-C50C-407E-A947-70E740481C1C}">
                          <a14:useLocalDpi xmlns:a14="http://schemas.microsoft.com/office/drawing/2010/main" val="0"/>
                        </a:ext>
                      </a:extLst>
                    </a:blip>
                    <a:stretch>
                      <a:fillRect/>
                    </a:stretch>
                  </pic:blipFill>
                  <pic:spPr>
                    <a:xfrm>
                      <a:off x="0" y="0"/>
                      <a:ext cx="4965192" cy="1005840"/>
                    </a:xfrm>
                    <a:prstGeom prst="rect">
                      <a:avLst/>
                    </a:prstGeom>
                  </pic:spPr>
                </pic:pic>
              </a:graphicData>
            </a:graphic>
            <wp14:sizeRelH relativeFrom="page">
              <wp14:pctWidth>0</wp14:pctWidth>
            </wp14:sizeRelH>
            <wp14:sizeRelV relativeFrom="page">
              <wp14:pctHeight>0</wp14:pctHeight>
            </wp14:sizeRelV>
          </wp:anchor>
        </w:drawing>
      </w:r>
    </w:p>
    <w:p w14:paraId="6F2D621A" w14:textId="77777777" w:rsidR="00E323C6" w:rsidRDefault="00CD65C5" w:rsidP="0030420F">
      <w:pPr>
        <w:pStyle w:val="Heading2"/>
        <w:ind w:left="709"/>
        <w:jc w:val="right"/>
      </w:pPr>
      <w:bookmarkStart w:id="211" w:name="_Toc459621645"/>
      <w:bookmarkStart w:id="212" w:name="_Toc493506758"/>
      <w:bookmarkStart w:id="213" w:name="_Toc522094804"/>
      <w:r>
        <w:t>Educate and train</w:t>
      </w:r>
      <w:bookmarkEnd w:id="211"/>
      <w:bookmarkEnd w:id="212"/>
      <w:bookmarkEnd w:id="213"/>
    </w:p>
    <w:p w14:paraId="3B1982CC" w14:textId="77777777" w:rsidR="00134628" w:rsidRDefault="00134628" w:rsidP="00134628"/>
    <w:p w14:paraId="5CBB8F9E" w14:textId="77777777" w:rsidR="00134628" w:rsidRDefault="00134628" w:rsidP="00134628"/>
    <w:p w14:paraId="2281937E" w14:textId="77777777" w:rsidR="00134628" w:rsidRPr="00134628" w:rsidRDefault="00134628" w:rsidP="00134628"/>
    <w:p w14:paraId="6003FC3F" w14:textId="77777777" w:rsidR="0030420F" w:rsidRPr="00091849" w:rsidRDefault="0030420F" w:rsidP="00BD5F53">
      <w:pPr>
        <w:rPr>
          <w:rFonts w:eastAsiaTheme="majorEastAsia" w:cstheme="majorBidi"/>
          <w:b/>
          <w:bCs/>
          <w:iCs/>
          <w:color w:val="002060"/>
        </w:rPr>
      </w:pPr>
    </w:p>
    <w:p w14:paraId="13F0F4ED" w14:textId="77777777" w:rsidR="0030420F" w:rsidRPr="00091849" w:rsidRDefault="0030420F" w:rsidP="00BD5F53">
      <w:pPr>
        <w:rPr>
          <w:rFonts w:eastAsiaTheme="majorEastAsia" w:cstheme="majorBidi"/>
          <w:b/>
          <w:bCs/>
          <w:iCs/>
          <w:color w:val="002060"/>
        </w:rPr>
      </w:pPr>
    </w:p>
    <w:p w14:paraId="1DF0DB20" w14:textId="77777777" w:rsidR="007C782F" w:rsidRPr="00091849" w:rsidRDefault="007C782F" w:rsidP="00BD5F53">
      <w:pPr>
        <w:rPr>
          <w:rFonts w:eastAsiaTheme="majorEastAsia" w:cstheme="majorBidi"/>
          <w:b/>
          <w:bCs/>
          <w:iCs/>
          <w:color w:val="002060"/>
        </w:rPr>
      </w:pPr>
    </w:p>
    <w:p w14:paraId="3C1328DA" w14:textId="77777777" w:rsidR="007C782F" w:rsidRPr="00091849" w:rsidRDefault="007C782F" w:rsidP="00BD5F53">
      <w:pPr>
        <w:rPr>
          <w:rFonts w:eastAsiaTheme="majorEastAsia" w:cstheme="majorBidi"/>
          <w:b/>
          <w:bCs/>
          <w:iCs/>
          <w:color w:val="002060"/>
        </w:rPr>
      </w:pPr>
    </w:p>
    <w:p w14:paraId="4612FEF3" w14:textId="77777777" w:rsidR="00B82213" w:rsidRPr="002A3374" w:rsidRDefault="00F654E1" w:rsidP="00BD5F53">
      <w:pPr>
        <w:rPr>
          <w:rFonts w:eastAsiaTheme="majorEastAsia" w:cstheme="majorBidi"/>
          <w:b/>
          <w:bCs/>
          <w:iCs/>
          <w:color w:val="154593"/>
        </w:rPr>
      </w:pPr>
      <w:r w:rsidRPr="002A3374">
        <w:rPr>
          <w:rFonts w:eastAsiaTheme="majorEastAsia" w:cstheme="majorBidi"/>
          <w:b/>
          <w:bCs/>
          <w:iCs/>
          <w:color w:val="154593"/>
        </w:rPr>
        <w:t xml:space="preserve">In this section we </w:t>
      </w:r>
      <w:r w:rsidR="00563D46" w:rsidRPr="002A3374">
        <w:rPr>
          <w:rFonts w:eastAsiaTheme="majorEastAsia" w:cstheme="majorBidi"/>
          <w:b/>
          <w:bCs/>
          <w:iCs/>
          <w:color w:val="154593"/>
        </w:rPr>
        <w:t>report on</w:t>
      </w:r>
      <w:r w:rsidRPr="002A3374">
        <w:rPr>
          <w:rFonts w:eastAsiaTheme="majorEastAsia" w:cstheme="majorBidi"/>
          <w:b/>
          <w:bCs/>
          <w:iCs/>
          <w:color w:val="154593"/>
        </w:rPr>
        <w:t xml:space="preserve"> the</w:t>
      </w:r>
      <w:r w:rsidR="00563D46" w:rsidRPr="002A3374">
        <w:rPr>
          <w:rFonts w:eastAsiaTheme="majorEastAsia" w:cstheme="majorBidi"/>
          <w:b/>
          <w:bCs/>
          <w:iCs/>
          <w:color w:val="154593"/>
        </w:rPr>
        <w:t xml:space="preserve"> outcomes achieved </w:t>
      </w:r>
      <w:r w:rsidRPr="002A3374">
        <w:rPr>
          <w:rFonts w:eastAsiaTheme="majorEastAsia" w:cstheme="majorBidi"/>
          <w:b/>
          <w:bCs/>
          <w:iCs/>
          <w:color w:val="154593"/>
        </w:rPr>
        <w:t xml:space="preserve">under the </w:t>
      </w:r>
      <w:r w:rsidR="00313237" w:rsidRPr="002A3374">
        <w:rPr>
          <w:rFonts w:eastAsiaTheme="majorEastAsia" w:cstheme="majorBidi"/>
          <w:b/>
          <w:bCs/>
          <w:iCs/>
          <w:color w:val="154593"/>
        </w:rPr>
        <w:t>strategic priority</w:t>
      </w:r>
      <w:r w:rsidR="00F30762">
        <w:rPr>
          <w:rFonts w:eastAsiaTheme="majorEastAsia" w:cstheme="majorBidi"/>
          <w:b/>
          <w:bCs/>
          <w:iCs/>
          <w:color w:val="154593"/>
        </w:rPr>
        <w:t xml:space="preserve"> of e</w:t>
      </w:r>
      <w:r w:rsidR="00163D75">
        <w:rPr>
          <w:rFonts w:eastAsiaTheme="majorEastAsia" w:cstheme="majorBidi"/>
          <w:b/>
          <w:bCs/>
          <w:iCs/>
          <w:color w:val="154593"/>
        </w:rPr>
        <w:t>ducate and train</w:t>
      </w:r>
      <w:r w:rsidRPr="002A3374">
        <w:rPr>
          <w:rFonts w:eastAsiaTheme="majorEastAsia" w:cstheme="majorBidi"/>
          <w:b/>
          <w:bCs/>
          <w:iCs/>
          <w:color w:val="154593"/>
        </w:rPr>
        <w:t xml:space="preserve">, aligned to HaDSCO’s </w:t>
      </w:r>
      <w:r w:rsidR="00563D46" w:rsidRPr="002A3374">
        <w:rPr>
          <w:rFonts w:eastAsiaTheme="majorEastAsia" w:cstheme="majorBidi"/>
          <w:b/>
          <w:bCs/>
          <w:iCs/>
          <w:color w:val="154593"/>
        </w:rPr>
        <w:t>Service Two: E</w:t>
      </w:r>
      <w:r w:rsidRPr="002A3374">
        <w:rPr>
          <w:rFonts w:eastAsiaTheme="majorEastAsia" w:cstheme="majorBidi"/>
          <w:b/>
          <w:bCs/>
          <w:iCs/>
          <w:color w:val="154593"/>
        </w:rPr>
        <w:t xml:space="preserve">ducation and training in the prevention and resolution of complaints. </w:t>
      </w:r>
    </w:p>
    <w:p w14:paraId="61CB7C41" w14:textId="77777777" w:rsidR="00022DB6" w:rsidRPr="002A3374" w:rsidRDefault="00022DB6" w:rsidP="00BD5F53">
      <w:pPr>
        <w:rPr>
          <w:rFonts w:eastAsiaTheme="majorEastAsia" w:cstheme="majorBidi"/>
          <w:b/>
          <w:bCs/>
          <w:iCs/>
          <w:color w:val="154593"/>
        </w:rPr>
      </w:pPr>
    </w:p>
    <w:p w14:paraId="566AAA7F" w14:textId="77777777" w:rsidR="007C782F" w:rsidRDefault="00022DB6" w:rsidP="0092620C">
      <w:pPr>
        <w:rPr>
          <w:rFonts w:eastAsiaTheme="majorEastAsia" w:cstheme="majorBidi"/>
          <w:b/>
          <w:bCs/>
          <w:iCs/>
          <w:color w:val="154593"/>
        </w:rPr>
      </w:pPr>
      <w:r w:rsidRPr="002A3374">
        <w:rPr>
          <w:rFonts w:eastAsiaTheme="majorEastAsia" w:cstheme="majorBidi"/>
          <w:b/>
          <w:bCs/>
          <w:iCs/>
          <w:color w:val="154593"/>
        </w:rPr>
        <w:t xml:space="preserve">We </w:t>
      </w:r>
      <w:r w:rsidR="00563D46" w:rsidRPr="002A3374">
        <w:rPr>
          <w:rFonts w:eastAsiaTheme="majorEastAsia" w:cstheme="majorBidi"/>
          <w:b/>
          <w:bCs/>
          <w:iCs/>
          <w:color w:val="154593"/>
        </w:rPr>
        <w:t>provide information about</w:t>
      </w:r>
      <w:r w:rsidR="00394A3A" w:rsidRPr="002A3374">
        <w:rPr>
          <w:rFonts w:eastAsiaTheme="majorEastAsia" w:cstheme="majorBidi"/>
          <w:b/>
          <w:bCs/>
          <w:iCs/>
          <w:color w:val="154593"/>
        </w:rPr>
        <w:t xml:space="preserve"> initiatives undertaken to enable the sharing of expertise, to provide </w:t>
      </w:r>
      <w:r w:rsidR="00563D46" w:rsidRPr="002A3374">
        <w:rPr>
          <w:rFonts w:eastAsiaTheme="majorEastAsia" w:cstheme="majorBidi"/>
          <w:b/>
          <w:bCs/>
          <w:iCs/>
          <w:color w:val="154593"/>
        </w:rPr>
        <w:t>awareness of, and access to</w:t>
      </w:r>
      <w:r w:rsidR="00394A3A" w:rsidRPr="002A3374">
        <w:rPr>
          <w:rFonts w:eastAsiaTheme="majorEastAsia" w:cstheme="majorBidi"/>
          <w:b/>
          <w:bCs/>
          <w:iCs/>
          <w:color w:val="154593"/>
        </w:rPr>
        <w:t>, our services, and through the sharing of information with service providers and the community t</w:t>
      </w:r>
      <w:r w:rsidR="00271AA4">
        <w:rPr>
          <w:rFonts w:eastAsiaTheme="majorEastAsia" w:cstheme="majorBidi"/>
          <w:b/>
          <w:bCs/>
          <w:iCs/>
          <w:color w:val="154593"/>
        </w:rPr>
        <w:t>o ensure they are well inform</w:t>
      </w:r>
      <w:r w:rsidR="007C782F">
        <w:rPr>
          <w:rFonts w:eastAsiaTheme="majorEastAsia" w:cstheme="majorBidi"/>
          <w:b/>
          <w:bCs/>
          <w:iCs/>
          <w:color w:val="154593"/>
        </w:rPr>
        <w:t>ed.</w:t>
      </w:r>
    </w:p>
    <w:p w14:paraId="551B9EA8" w14:textId="77777777" w:rsidR="007C782F" w:rsidRDefault="007C782F" w:rsidP="0092620C">
      <w:pPr>
        <w:rPr>
          <w:rFonts w:eastAsiaTheme="majorEastAsia" w:cstheme="majorBidi"/>
          <w:b/>
          <w:bCs/>
          <w:iCs/>
          <w:color w:val="154593"/>
        </w:rPr>
      </w:pPr>
      <w:r w:rsidRPr="00F346B3">
        <w:rPr>
          <w:noProof/>
          <w:szCs w:val="22"/>
          <w:lang w:eastAsia="en-AU"/>
        </w:rPr>
        <mc:AlternateContent>
          <mc:Choice Requires="wps">
            <w:drawing>
              <wp:anchor distT="0" distB="0" distL="114300" distR="114300" simplePos="0" relativeHeight="252423168" behindDoc="0" locked="0" layoutInCell="1" allowOverlap="1" wp14:anchorId="00B0E8E8" wp14:editId="4FED6A8C">
                <wp:simplePos x="0" y="0"/>
                <wp:positionH relativeFrom="margin">
                  <wp:posOffset>-48260</wp:posOffset>
                </wp:positionH>
                <wp:positionV relativeFrom="margin">
                  <wp:posOffset>3547110</wp:posOffset>
                </wp:positionV>
                <wp:extent cx="6052185" cy="5460365"/>
                <wp:effectExtent l="19050" t="19050" r="24765" b="26035"/>
                <wp:wrapSquare wrapText="bothSides"/>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2185" cy="5460365"/>
                        </a:xfrm>
                        <a:prstGeom prst="rect">
                          <a:avLst/>
                        </a:prstGeom>
                        <a:solidFill>
                          <a:srgbClr val="FFFFFF"/>
                        </a:solidFill>
                        <a:ln w="38100">
                          <a:solidFill>
                            <a:srgbClr val="154593"/>
                          </a:solidFill>
                          <a:miter lim="800000"/>
                          <a:headEnd/>
                          <a:tailEnd/>
                        </a:ln>
                      </wps:spPr>
                      <wps:txbx>
                        <w:txbxContent>
                          <w:p w14:paraId="34BC053C" w14:textId="77777777" w:rsidR="00A03A05" w:rsidRDefault="00A03A05" w:rsidP="0092620C">
                            <w:pPr>
                              <w:rPr>
                                <w:color w:val="154593"/>
                              </w:rPr>
                            </w:pPr>
                          </w:p>
                          <w:p w14:paraId="2C219921" w14:textId="77777777" w:rsidR="00A03A05" w:rsidRPr="00682E2D" w:rsidRDefault="00A03A05" w:rsidP="000B6A67">
                            <w:pPr>
                              <w:pStyle w:val="Heading2"/>
                              <w:numPr>
                                <w:ilvl w:val="1"/>
                                <w:numId w:val="16"/>
                              </w:numPr>
                              <w:rPr>
                                <w:color w:val="154593"/>
                              </w:rPr>
                            </w:pPr>
                            <w:bookmarkStart w:id="214" w:name="_Toc493506759"/>
                            <w:bookmarkStart w:id="215" w:name="_Toc517683955"/>
                            <w:bookmarkStart w:id="216" w:name="_Toc517701988"/>
                            <w:bookmarkStart w:id="217" w:name="_Toc522094805"/>
                            <w:bookmarkStart w:id="218" w:name="_Toc522103456"/>
                            <w:bookmarkStart w:id="219" w:name="_Toc522276084"/>
                            <w:r w:rsidRPr="00682E2D">
                              <w:rPr>
                                <w:color w:val="154593"/>
                              </w:rPr>
                              <w:t>Key highlights</w:t>
                            </w:r>
                            <w:bookmarkEnd w:id="214"/>
                            <w:bookmarkEnd w:id="215"/>
                            <w:bookmarkEnd w:id="216"/>
                            <w:bookmarkEnd w:id="217"/>
                            <w:bookmarkEnd w:id="218"/>
                            <w:bookmarkEnd w:id="219"/>
                            <w:r w:rsidRPr="00682E2D">
                              <w:rPr>
                                <w:color w:val="154593"/>
                              </w:rPr>
                              <w:t xml:space="preserve"> </w:t>
                            </w:r>
                          </w:p>
                          <w:p w14:paraId="1FFC41A9" w14:textId="77777777" w:rsidR="00A03A05" w:rsidRPr="002A3374" w:rsidRDefault="00A03A05" w:rsidP="0092620C">
                            <w:pPr>
                              <w:pStyle w:val="ListParagraph"/>
                              <w:ind w:left="0"/>
                              <w:rPr>
                                <w:rFonts w:eastAsiaTheme="majorEastAsia" w:cstheme="majorBidi"/>
                                <w:bCs/>
                                <w:iCs/>
                                <w:color w:val="154593"/>
                              </w:rPr>
                            </w:pPr>
                          </w:p>
                          <w:p w14:paraId="2B6FAC7D" w14:textId="06013CA0" w:rsidR="00A03A05" w:rsidRPr="00F66601" w:rsidRDefault="00A03A05" w:rsidP="0092620C">
                            <w:pPr>
                              <w:pStyle w:val="ListParagraph"/>
                              <w:ind w:left="0"/>
                              <w:rPr>
                                <w:rFonts w:eastAsiaTheme="majorEastAsia" w:cstheme="majorBidi"/>
                                <w:bCs/>
                                <w:iCs/>
                                <w:color w:val="0070C0"/>
                              </w:rPr>
                            </w:pPr>
                            <w:r w:rsidRPr="00F66601">
                              <w:rPr>
                                <w:rFonts w:eastAsiaTheme="majorEastAsia" w:cstheme="majorBidi"/>
                                <w:bCs/>
                                <w:iCs/>
                                <w:color w:val="0070C0"/>
                              </w:rPr>
                              <w:t xml:space="preserve">Key highlights for 2017-18 included: </w:t>
                            </w:r>
                          </w:p>
                          <w:p w14:paraId="763904CF" w14:textId="77777777" w:rsidR="00A03A05" w:rsidRPr="00682E2D" w:rsidRDefault="00A03A05" w:rsidP="0092620C">
                            <w:pPr>
                              <w:pStyle w:val="ListParagraph"/>
                              <w:ind w:left="426"/>
                              <w:rPr>
                                <w:rFonts w:eastAsiaTheme="majorEastAsia" w:cstheme="majorBidi"/>
                                <w:bCs/>
                                <w:iCs/>
                                <w:color w:val="0070C0"/>
                              </w:rPr>
                            </w:pPr>
                          </w:p>
                          <w:p w14:paraId="047A6B65" w14:textId="294C0C7C" w:rsidR="00A03A05" w:rsidRPr="00F66601" w:rsidRDefault="00A03A05" w:rsidP="000B6A67">
                            <w:pPr>
                              <w:pStyle w:val="ListParagraph"/>
                              <w:numPr>
                                <w:ilvl w:val="0"/>
                                <w:numId w:val="12"/>
                              </w:numPr>
                              <w:ind w:left="426"/>
                              <w:rPr>
                                <w:rFonts w:eastAsiaTheme="majorEastAsia" w:cstheme="majorBidi"/>
                                <w:bCs/>
                                <w:iCs/>
                                <w:color w:val="0070C0"/>
                              </w:rPr>
                            </w:pPr>
                            <w:r w:rsidRPr="00F66601">
                              <w:rPr>
                                <w:rFonts w:eastAsiaTheme="majorEastAsia" w:cstheme="majorBidi"/>
                                <w:bCs/>
                                <w:iCs/>
                                <w:color w:val="0070C0"/>
                              </w:rPr>
                              <w:t>Acquitted the Stakeholder E</w:t>
                            </w:r>
                            <w:r>
                              <w:rPr>
                                <w:rFonts w:eastAsiaTheme="majorEastAsia" w:cstheme="majorBidi"/>
                                <w:bCs/>
                                <w:iCs/>
                                <w:color w:val="0070C0"/>
                              </w:rPr>
                              <w:t xml:space="preserve">ngagement Strategy January 2017 – </w:t>
                            </w:r>
                            <w:r w:rsidRPr="00F66601">
                              <w:rPr>
                                <w:rFonts w:eastAsiaTheme="majorEastAsia" w:cstheme="majorBidi"/>
                                <w:bCs/>
                                <w:iCs/>
                                <w:color w:val="0070C0"/>
                              </w:rPr>
                              <w:t xml:space="preserve">June 2018 for the delivery of targeted stakeholder engagement programs and outreach activities to better inform, educate and empower the community and service providers. </w:t>
                            </w:r>
                          </w:p>
                          <w:p w14:paraId="6776AE46" w14:textId="77777777" w:rsidR="00A03A05" w:rsidRPr="00F66601" w:rsidRDefault="00A03A05" w:rsidP="0092620C">
                            <w:pPr>
                              <w:pStyle w:val="ListParagraph"/>
                              <w:ind w:left="426"/>
                              <w:rPr>
                                <w:rFonts w:eastAsiaTheme="majorEastAsia" w:cstheme="majorBidi"/>
                                <w:bCs/>
                                <w:iCs/>
                                <w:color w:val="0070C0"/>
                              </w:rPr>
                            </w:pPr>
                          </w:p>
                          <w:p w14:paraId="4F089031" w14:textId="447DE6C3" w:rsidR="00A03A05" w:rsidRPr="00F66601" w:rsidRDefault="00A03A05" w:rsidP="000B6A67">
                            <w:pPr>
                              <w:pStyle w:val="ListParagraph"/>
                              <w:numPr>
                                <w:ilvl w:val="0"/>
                                <w:numId w:val="12"/>
                              </w:numPr>
                              <w:ind w:left="426"/>
                              <w:rPr>
                                <w:rFonts w:eastAsiaTheme="majorEastAsia" w:cstheme="majorBidi"/>
                                <w:bCs/>
                                <w:iCs/>
                                <w:color w:val="0070C0"/>
                              </w:rPr>
                            </w:pPr>
                            <w:r w:rsidRPr="00F66601">
                              <w:rPr>
                                <w:rFonts w:eastAsiaTheme="majorEastAsia" w:cstheme="majorBidi"/>
                                <w:bCs/>
                                <w:iCs/>
                                <w:color w:val="0070C0"/>
                              </w:rPr>
                              <w:t xml:space="preserve">Delivered 159 outreach activities with key stakeholders including the delivery of 13 presentations, 16 awareness raising activities, 94 consultations and 36 networking opportunities. </w:t>
                            </w:r>
                          </w:p>
                          <w:p w14:paraId="16907CB3" w14:textId="77777777" w:rsidR="00A03A05" w:rsidRPr="00682E2D" w:rsidRDefault="00A03A05" w:rsidP="0092620C">
                            <w:pPr>
                              <w:pStyle w:val="ListParagraph"/>
                              <w:ind w:left="426"/>
                              <w:rPr>
                                <w:rFonts w:eastAsiaTheme="majorEastAsia" w:cstheme="majorBidi"/>
                                <w:bCs/>
                                <w:iCs/>
                                <w:color w:val="0070C0"/>
                              </w:rPr>
                            </w:pPr>
                          </w:p>
                          <w:p w14:paraId="339FE272" w14:textId="5E93C4BB" w:rsidR="00A03A05" w:rsidRPr="0098555E" w:rsidRDefault="00A03A05" w:rsidP="000B6A67">
                            <w:pPr>
                              <w:pStyle w:val="ListParagraph"/>
                              <w:numPr>
                                <w:ilvl w:val="0"/>
                                <w:numId w:val="12"/>
                              </w:numPr>
                              <w:ind w:left="426"/>
                              <w:rPr>
                                <w:rFonts w:eastAsiaTheme="majorEastAsia" w:cstheme="majorBidi"/>
                                <w:bCs/>
                                <w:iCs/>
                                <w:color w:val="0070C0"/>
                              </w:rPr>
                            </w:pPr>
                            <w:r w:rsidRPr="0098555E">
                              <w:rPr>
                                <w:rFonts w:eastAsiaTheme="majorEastAsia" w:cstheme="majorBidi"/>
                                <w:bCs/>
                                <w:iCs/>
                                <w:color w:val="0070C0"/>
                              </w:rPr>
                              <w:t>Planned and</w:t>
                            </w:r>
                            <w:r>
                              <w:rPr>
                                <w:rFonts w:eastAsiaTheme="majorEastAsia" w:cstheme="majorBidi"/>
                                <w:bCs/>
                                <w:iCs/>
                                <w:color w:val="0070C0"/>
                              </w:rPr>
                              <w:t xml:space="preserve"> delivered in a Regional Awareness and Accessibility Program in the south west of Western Australia which included an Aboriginal Liaison session with Aboriginal services and community members and five joint agency complaint clinics</w:t>
                            </w:r>
                          </w:p>
                          <w:p w14:paraId="17BEF866" w14:textId="77777777" w:rsidR="00A03A05" w:rsidRPr="00682E2D" w:rsidRDefault="00A03A05" w:rsidP="00682E2D">
                            <w:pPr>
                              <w:pStyle w:val="ListParagraph"/>
                              <w:ind w:left="426"/>
                              <w:rPr>
                                <w:rFonts w:eastAsiaTheme="majorEastAsia" w:cstheme="majorBidi"/>
                                <w:bCs/>
                                <w:iCs/>
                                <w:color w:val="0070C0"/>
                              </w:rPr>
                            </w:pPr>
                          </w:p>
                          <w:p w14:paraId="5CC7366B" w14:textId="4BFD5747" w:rsidR="00A03A05" w:rsidRPr="0098555E" w:rsidRDefault="00A03A05" w:rsidP="000B6A67">
                            <w:pPr>
                              <w:pStyle w:val="ListParagraph"/>
                              <w:numPr>
                                <w:ilvl w:val="0"/>
                                <w:numId w:val="12"/>
                              </w:numPr>
                              <w:ind w:left="426"/>
                              <w:rPr>
                                <w:rFonts w:eastAsiaTheme="majorEastAsia" w:cstheme="majorBidi"/>
                                <w:bCs/>
                                <w:iCs/>
                                <w:color w:val="0070C0"/>
                              </w:rPr>
                            </w:pPr>
                            <w:r w:rsidRPr="0098555E">
                              <w:rPr>
                                <w:rFonts w:eastAsiaTheme="majorEastAsia" w:cstheme="majorBidi"/>
                                <w:bCs/>
                                <w:iCs/>
                                <w:color w:val="0070C0"/>
                              </w:rPr>
                              <w:t xml:space="preserve">Developed additional resources for use in HaDSCO’s publications suite, including information sheets to provide practical information on the range of matters the Office can receive complaints about in the areas of health, disability, mental health and prison health services. </w:t>
                            </w:r>
                          </w:p>
                          <w:p w14:paraId="617F9B3C" w14:textId="77777777" w:rsidR="00A03A05" w:rsidRPr="00682E2D" w:rsidRDefault="00A03A05" w:rsidP="0092620C">
                            <w:pPr>
                              <w:pStyle w:val="ListParagraph"/>
                              <w:ind w:left="426"/>
                              <w:rPr>
                                <w:rFonts w:eastAsiaTheme="majorEastAsia" w:cstheme="majorBidi"/>
                                <w:bCs/>
                                <w:iCs/>
                                <w:color w:val="0070C0"/>
                              </w:rPr>
                            </w:pPr>
                          </w:p>
                          <w:p w14:paraId="77732A01" w14:textId="77777777" w:rsidR="00A03A05" w:rsidRDefault="00A03A05" w:rsidP="000B6A67">
                            <w:pPr>
                              <w:pStyle w:val="ListParagraph"/>
                              <w:numPr>
                                <w:ilvl w:val="0"/>
                                <w:numId w:val="12"/>
                              </w:numPr>
                              <w:ind w:left="426"/>
                              <w:rPr>
                                <w:rFonts w:eastAsiaTheme="majorEastAsia" w:cstheme="majorBidi"/>
                                <w:bCs/>
                                <w:iCs/>
                                <w:color w:val="0070C0"/>
                              </w:rPr>
                            </w:pPr>
                            <w:r w:rsidRPr="00682E2D">
                              <w:rPr>
                                <w:rFonts w:eastAsiaTheme="majorEastAsia" w:cstheme="majorBidi"/>
                                <w:bCs/>
                                <w:iCs/>
                                <w:color w:val="0070C0"/>
                              </w:rPr>
                              <w:t xml:space="preserve">Continued to share complaints handling expertise with stakeholders at a national and State level. </w:t>
                            </w:r>
                          </w:p>
                          <w:p w14:paraId="4B28D4F1" w14:textId="77777777" w:rsidR="00A03A05" w:rsidRPr="00682E2D" w:rsidRDefault="00A03A05" w:rsidP="00682E2D">
                            <w:pPr>
                              <w:pStyle w:val="ListParagraph"/>
                              <w:rPr>
                                <w:rFonts w:eastAsiaTheme="majorEastAsia" w:cstheme="majorBidi"/>
                                <w:bCs/>
                                <w:iCs/>
                                <w:color w:val="0070C0"/>
                              </w:rPr>
                            </w:pPr>
                          </w:p>
                          <w:p w14:paraId="42DA48D4" w14:textId="1F8189B5" w:rsidR="00A03A05" w:rsidRPr="00682E2D" w:rsidRDefault="00A03A05" w:rsidP="000B6A67">
                            <w:pPr>
                              <w:pStyle w:val="ListParagraph"/>
                              <w:numPr>
                                <w:ilvl w:val="0"/>
                                <w:numId w:val="12"/>
                              </w:numPr>
                              <w:ind w:left="426"/>
                              <w:rPr>
                                <w:rFonts w:eastAsiaTheme="majorEastAsia" w:cstheme="majorBidi"/>
                                <w:bCs/>
                                <w:iCs/>
                                <w:color w:val="0070C0"/>
                              </w:rPr>
                            </w:pPr>
                            <w:r>
                              <w:rPr>
                                <w:rFonts w:eastAsiaTheme="majorEastAsia" w:cstheme="majorBidi"/>
                                <w:bCs/>
                                <w:iCs/>
                                <w:color w:val="0070C0"/>
                              </w:rPr>
                              <w:t xml:space="preserve">Developed and distributed resources for service providers and stakeholders including the </w:t>
                            </w:r>
                            <w:r w:rsidRPr="00682E2D">
                              <w:rPr>
                                <w:rFonts w:eastAsiaTheme="majorEastAsia" w:cstheme="majorBidi"/>
                                <w:bCs/>
                                <w:i/>
                                <w:iCs/>
                                <w:color w:val="0070C0"/>
                              </w:rPr>
                              <w:t>National Code of Conduct for health care workers in Western Australia – Consultation Paper December 2017</w:t>
                            </w:r>
                            <w:r>
                              <w:rPr>
                                <w:rFonts w:eastAsiaTheme="majorEastAsia" w:cstheme="majorBidi"/>
                                <w:bCs/>
                                <w:iCs/>
                                <w:color w:val="0070C0"/>
                              </w:rPr>
                              <w:t xml:space="preserve">; Complaints Report Cards; and external data collection reports.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3" type="#_x0000_t202" style="position:absolute;margin-left:-3.8pt;margin-top:279.3pt;width:476.55pt;height:429.95pt;z-index:2524231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" strokecolor="#154593" strokeweight="3pt">
                <v:textbox>
                  <w:txbxContent>
                    <w:p w14:paraId="34BC053C" w14:textId="77777777" w:rsidR="00A03A05" w:rsidRDefault="00A03A05" w:rsidP="0092620C">
                      <w:pPr>
                        <w:rPr>
                          <w:color w:val="154593"/>
                        </w:rPr>
                      </w:pPr>
                    </w:p>
                    <w:p w14:paraId="2C219921" w14:textId="77777777" w:rsidR="00A03A05" w:rsidRPr="00682E2D" w:rsidRDefault="00A03A05" w:rsidP="000B6A67">
                      <w:pPr>
                        <w:pStyle w:val="Heading2"/>
                        <w:numPr>
                          <w:ilvl w:val="1"/>
                          <w:numId w:val="16"/>
                        </w:numPr>
                        <w:rPr>
                          <w:color w:val="154593"/>
                        </w:rPr>
                      </w:pPr>
                      <w:bookmarkStart w:id="270" w:name="_Toc493506759"/>
                      <w:bookmarkStart w:id="271" w:name="_Toc517683955"/>
                      <w:bookmarkStart w:id="272" w:name="_Toc517701988"/>
                      <w:bookmarkStart w:id="273" w:name="_Toc522094805"/>
                      <w:bookmarkStart w:id="274" w:name="_Toc522103456"/>
                      <w:bookmarkStart w:id="275" w:name="_Toc522276084"/>
                      <w:r w:rsidRPr="00682E2D">
                        <w:rPr>
                          <w:color w:val="154593"/>
                        </w:rPr>
                        <w:t>Key highlights</w:t>
                      </w:r>
                      <w:bookmarkEnd w:id="270"/>
                      <w:bookmarkEnd w:id="271"/>
                      <w:bookmarkEnd w:id="272"/>
                      <w:bookmarkEnd w:id="273"/>
                      <w:bookmarkEnd w:id="274"/>
                      <w:bookmarkEnd w:id="275"/>
                      <w:r w:rsidRPr="00682E2D">
                        <w:rPr>
                          <w:color w:val="154593"/>
                        </w:rPr>
                        <w:t xml:space="preserve"> </w:t>
                      </w:r>
                    </w:p>
                    <w:p w14:paraId="1FFC41A9" w14:textId="77777777" w:rsidR="00A03A05" w:rsidRPr="002A3374" w:rsidRDefault="00A03A05" w:rsidP="0092620C">
                      <w:pPr>
                        <w:pStyle w:val="ListParagraph"/>
                        <w:ind w:left="0"/>
                        <w:rPr>
                          <w:rFonts w:eastAsiaTheme="majorEastAsia" w:cstheme="majorBidi"/>
                          <w:bCs/>
                          <w:iCs/>
                          <w:color w:val="154593"/>
                        </w:rPr>
                      </w:pPr>
                    </w:p>
                    <w:p w14:paraId="2B6FAC7D" w14:textId="06013CA0" w:rsidR="00A03A05" w:rsidRPr="00F66601" w:rsidRDefault="00A03A05" w:rsidP="0092620C">
                      <w:pPr>
                        <w:pStyle w:val="ListParagraph"/>
                        <w:ind w:left="0"/>
                        <w:rPr>
                          <w:rFonts w:eastAsiaTheme="majorEastAsia" w:cstheme="majorBidi"/>
                          <w:bCs/>
                          <w:iCs/>
                          <w:color w:val="0070C0"/>
                        </w:rPr>
                      </w:pPr>
                      <w:r w:rsidRPr="00F66601">
                        <w:rPr>
                          <w:rFonts w:eastAsiaTheme="majorEastAsia" w:cstheme="majorBidi"/>
                          <w:bCs/>
                          <w:iCs/>
                          <w:color w:val="0070C0"/>
                        </w:rPr>
                        <w:t xml:space="preserve">Key highlights for 2017-18 included: </w:t>
                      </w:r>
                    </w:p>
                    <w:p w14:paraId="763904CF" w14:textId="77777777" w:rsidR="00A03A05" w:rsidRPr="00682E2D" w:rsidRDefault="00A03A05" w:rsidP="0092620C">
                      <w:pPr>
                        <w:pStyle w:val="ListParagraph"/>
                        <w:ind w:left="426"/>
                        <w:rPr>
                          <w:rFonts w:eastAsiaTheme="majorEastAsia" w:cstheme="majorBidi"/>
                          <w:bCs/>
                          <w:iCs/>
                          <w:color w:val="0070C0"/>
                        </w:rPr>
                      </w:pPr>
                    </w:p>
                    <w:p w14:paraId="047A6B65" w14:textId="294C0C7C" w:rsidR="00A03A05" w:rsidRPr="00F66601" w:rsidRDefault="00A03A05" w:rsidP="000B6A67">
                      <w:pPr>
                        <w:pStyle w:val="ListParagraph"/>
                        <w:numPr>
                          <w:ilvl w:val="0"/>
                          <w:numId w:val="12"/>
                        </w:numPr>
                        <w:ind w:left="426"/>
                        <w:rPr>
                          <w:rFonts w:eastAsiaTheme="majorEastAsia" w:cstheme="majorBidi"/>
                          <w:bCs/>
                          <w:iCs/>
                          <w:color w:val="0070C0"/>
                        </w:rPr>
                      </w:pPr>
                      <w:r w:rsidRPr="00F66601">
                        <w:rPr>
                          <w:rFonts w:eastAsiaTheme="majorEastAsia" w:cstheme="majorBidi"/>
                          <w:bCs/>
                          <w:iCs/>
                          <w:color w:val="0070C0"/>
                        </w:rPr>
                        <w:t>Acquitted the Stakeholder E</w:t>
                      </w:r>
                      <w:r>
                        <w:rPr>
                          <w:rFonts w:eastAsiaTheme="majorEastAsia" w:cstheme="majorBidi"/>
                          <w:bCs/>
                          <w:iCs/>
                          <w:color w:val="0070C0"/>
                        </w:rPr>
                        <w:t xml:space="preserve">ngagement Strategy January 2017 – </w:t>
                      </w:r>
                      <w:r w:rsidRPr="00F66601">
                        <w:rPr>
                          <w:rFonts w:eastAsiaTheme="majorEastAsia" w:cstheme="majorBidi"/>
                          <w:bCs/>
                          <w:iCs/>
                          <w:color w:val="0070C0"/>
                        </w:rPr>
                        <w:t xml:space="preserve">June 2018 for the delivery of targeted stakeholder engagement programs and outreach activities to better inform, educate and empower the community and service providers. </w:t>
                      </w:r>
                    </w:p>
                    <w:p w14:paraId="6776AE46" w14:textId="77777777" w:rsidR="00A03A05" w:rsidRPr="00F66601" w:rsidRDefault="00A03A05" w:rsidP="0092620C">
                      <w:pPr>
                        <w:pStyle w:val="ListParagraph"/>
                        <w:ind w:left="426"/>
                        <w:rPr>
                          <w:rFonts w:eastAsiaTheme="majorEastAsia" w:cstheme="majorBidi"/>
                          <w:bCs/>
                          <w:iCs/>
                          <w:color w:val="0070C0"/>
                        </w:rPr>
                      </w:pPr>
                    </w:p>
                    <w:p w14:paraId="4F089031" w14:textId="447DE6C3" w:rsidR="00A03A05" w:rsidRPr="00F66601" w:rsidRDefault="00A03A05" w:rsidP="000B6A67">
                      <w:pPr>
                        <w:pStyle w:val="ListParagraph"/>
                        <w:numPr>
                          <w:ilvl w:val="0"/>
                          <w:numId w:val="12"/>
                        </w:numPr>
                        <w:ind w:left="426"/>
                        <w:rPr>
                          <w:rFonts w:eastAsiaTheme="majorEastAsia" w:cstheme="majorBidi"/>
                          <w:bCs/>
                          <w:iCs/>
                          <w:color w:val="0070C0"/>
                        </w:rPr>
                      </w:pPr>
                      <w:r w:rsidRPr="00F66601">
                        <w:rPr>
                          <w:rFonts w:eastAsiaTheme="majorEastAsia" w:cstheme="majorBidi"/>
                          <w:bCs/>
                          <w:iCs/>
                          <w:color w:val="0070C0"/>
                        </w:rPr>
                        <w:t xml:space="preserve">Delivered 159 outreach activities with key stakeholders including the delivery of 13 presentations, 16 awareness raising activities, 94 consultations and 36 networking opportunities. </w:t>
                      </w:r>
                    </w:p>
                    <w:p w14:paraId="16907CB3" w14:textId="77777777" w:rsidR="00A03A05" w:rsidRPr="00682E2D" w:rsidRDefault="00A03A05" w:rsidP="0092620C">
                      <w:pPr>
                        <w:pStyle w:val="ListParagraph"/>
                        <w:ind w:left="426"/>
                        <w:rPr>
                          <w:rFonts w:eastAsiaTheme="majorEastAsia" w:cstheme="majorBidi"/>
                          <w:bCs/>
                          <w:iCs/>
                          <w:color w:val="0070C0"/>
                        </w:rPr>
                      </w:pPr>
                    </w:p>
                    <w:p w14:paraId="339FE272" w14:textId="5E93C4BB" w:rsidR="00A03A05" w:rsidRPr="0098555E" w:rsidRDefault="00A03A05" w:rsidP="000B6A67">
                      <w:pPr>
                        <w:pStyle w:val="ListParagraph"/>
                        <w:numPr>
                          <w:ilvl w:val="0"/>
                          <w:numId w:val="12"/>
                        </w:numPr>
                        <w:ind w:left="426"/>
                        <w:rPr>
                          <w:rFonts w:eastAsiaTheme="majorEastAsia" w:cstheme="majorBidi"/>
                          <w:bCs/>
                          <w:iCs/>
                          <w:color w:val="0070C0"/>
                        </w:rPr>
                      </w:pPr>
                      <w:r w:rsidRPr="0098555E">
                        <w:rPr>
                          <w:rFonts w:eastAsiaTheme="majorEastAsia" w:cstheme="majorBidi"/>
                          <w:bCs/>
                          <w:iCs/>
                          <w:color w:val="0070C0"/>
                        </w:rPr>
                        <w:t>Planned and</w:t>
                      </w:r>
                      <w:r>
                        <w:rPr>
                          <w:rFonts w:eastAsiaTheme="majorEastAsia" w:cstheme="majorBidi"/>
                          <w:bCs/>
                          <w:iCs/>
                          <w:color w:val="0070C0"/>
                        </w:rPr>
                        <w:t xml:space="preserve"> delivered in a Regional Awareness and Accessibility Program in the south west of Western Australia which included an Aboriginal Liaison session with Aboriginal services and community members and five joint agency complaint clinics</w:t>
                      </w:r>
                    </w:p>
                    <w:p w14:paraId="17BEF866" w14:textId="77777777" w:rsidR="00A03A05" w:rsidRPr="00682E2D" w:rsidRDefault="00A03A05" w:rsidP="00682E2D">
                      <w:pPr>
                        <w:pStyle w:val="ListParagraph"/>
                        <w:ind w:left="426"/>
                        <w:rPr>
                          <w:rFonts w:eastAsiaTheme="majorEastAsia" w:cstheme="majorBidi"/>
                          <w:bCs/>
                          <w:iCs/>
                          <w:color w:val="0070C0"/>
                        </w:rPr>
                      </w:pPr>
                    </w:p>
                    <w:p w14:paraId="5CC7366B" w14:textId="4BFD5747" w:rsidR="00A03A05" w:rsidRPr="0098555E" w:rsidRDefault="00A03A05" w:rsidP="000B6A67">
                      <w:pPr>
                        <w:pStyle w:val="ListParagraph"/>
                        <w:numPr>
                          <w:ilvl w:val="0"/>
                          <w:numId w:val="12"/>
                        </w:numPr>
                        <w:ind w:left="426"/>
                        <w:rPr>
                          <w:rFonts w:eastAsiaTheme="majorEastAsia" w:cstheme="majorBidi"/>
                          <w:bCs/>
                          <w:iCs/>
                          <w:color w:val="0070C0"/>
                        </w:rPr>
                      </w:pPr>
                      <w:r w:rsidRPr="0098555E">
                        <w:rPr>
                          <w:rFonts w:eastAsiaTheme="majorEastAsia" w:cstheme="majorBidi"/>
                          <w:bCs/>
                          <w:iCs/>
                          <w:color w:val="0070C0"/>
                        </w:rPr>
                        <w:t xml:space="preserve">Developed additional resources for use in HaDSCO’s publications suite, including information sheets to provide practical information on the range of matters the Office can receive complaints about in the areas of health, disability, mental health and prison health services. </w:t>
                      </w:r>
                    </w:p>
                    <w:p w14:paraId="617F9B3C" w14:textId="77777777" w:rsidR="00A03A05" w:rsidRPr="00682E2D" w:rsidRDefault="00A03A05" w:rsidP="0092620C">
                      <w:pPr>
                        <w:pStyle w:val="ListParagraph"/>
                        <w:ind w:left="426"/>
                        <w:rPr>
                          <w:rFonts w:eastAsiaTheme="majorEastAsia" w:cstheme="majorBidi"/>
                          <w:bCs/>
                          <w:iCs/>
                          <w:color w:val="0070C0"/>
                        </w:rPr>
                      </w:pPr>
                    </w:p>
                    <w:p w14:paraId="77732A01" w14:textId="77777777" w:rsidR="00A03A05" w:rsidRDefault="00A03A05" w:rsidP="000B6A67">
                      <w:pPr>
                        <w:pStyle w:val="ListParagraph"/>
                        <w:numPr>
                          <w:ilvl w:val="0"/>
                          <w:numId w:val="12"/>
                        </w:numPr>
                        <w:ind w:left="426"/>
                        <w:rPr>
                          <w:rFonts w:eastAsiaTheme="majorEastAsia" w:cstheme="majorBidi"/>
                          <w:bCs/>
                          <w:iCs/>
                          <w:color w:val="0070C0"/>
                        </w:rPr>
                      </w:pPr>
                      <w:r w:rsidRPr="00682E2D">
                        <w:rPr>
                          <w:rFonts w:eastAsiaTheme="majorEastAsia" w:cstheme="majorBidi"/>
                          <w:bCs/>
                          <w:iCs/>
                          <w:color w:val="0070C0"/>
                        </w:rPr>
                        <w:t xml:space="preserve">Continued to share complaints handling expertise with stakeholders at a national and State level. </w:t>
                      </w:r>
                    </w:p>
                    <w:p w14:paraId="4B28D4F1" w14:textId="77777777" w:rsidR="00A03A05" w:rsidRPr="00682E2D" w:rsidRDefault="00A03A05" w:rsidP="00682E2D">
                      <w:pPr>
                        <w:pStyle w:val="ListParagraph"/>
                        <w:rPr>
                          <w:rFonts w:eastAsiaTheme="majorEastAsia" w:cstheme="majorBidi"/>
                          <w:bCs/>
                          <w:iCs/>
                          <w:color w:val="0070C0"/>
                        </w:rPr>
                      </w:pPr>
                    </w:p>
                    <w:p w14:paraId="42DA48D4" w14:textId="1F8189B5" w:rsidR="00A03A05" w:rsidRPr="00682E2D" w:rsidRDefault="00A03A05" w:rsidP="000B6A67">
                      <w:pPr>
                        <w:pStyle w:val="ListParagraph"/>
                        <w:numPr>
                          <w:ilvl w:val="0"/>
                          <w:numId w:val="12"/>
                        </w:numPr>
                        <w:ind w:left="426"/>
                        <w:rPr>
                          <w:rFonts w:eastAsiaTheme="majorEastAsia" w:cstheme="majorBidi"/>
                          <w:bCs/>
                          <w:iCs/>
                          <w:color w:val="0070C0"/>
                        </w:rPr>
                      </w:pPr>
                      <w:r>
                        <w:rPr>
                          <w:rFonts w:eastAsiaTheme="majorEastAsia" w:cstheme="majorBidi"/>
                          <w:bCs/>
                          <w:iCs/>
                          <w:color w:val="0070C0"/>
                        </w:rPr>
                        <w:t xml:space="preserve">Developed and distributed resources for service providers and stakeholders including the </w:t>
                      </w:r>
                      <w:r w:rsidRPr="00682E2D">
                        <w:rPr>
                          <w:rFonts w:eastAsiaTheme="majorEastAsia" w:cstheme="majorBidi"/>
                          <w:bCs/>
                          <w:i/>
                          <w:iCs/>
                          <w:color w:val="0070C0"/>
                        </w:rPr>
                        <w:t>National Code of Conduct for health care workers in Western Australia – Consultation Paper December 2017</w:t>
                      </w:r>
                      <w:r>
                        <w:rPr>
                          <w:rFonts w:eastAsiaTheme="majorEastAsia" w:cstheme="majorBidi"/>
                          <w:bCs/>
                          <w:iCs/>
                          <w:color w:val="0070C0"/>
                        </w:rPr>
                        <w:t xml:space="preserve">; Complaints Report Cards; and external data collection reports. </w:t>
                      </w:r>
                    </w:p>
                  </w:txbxContent>
                </v:textbox>
                <w10:wrap type="square" anchorx="margin" anchory="margin"/>
              </v:shape>
            </w:pict>
          </mc:Fallback>
        </mc:AlternateContent>
      </w:r>
    </w:p>
    <w:p w14:paraId="1FA268AD" w14:textId="77777777" w:rsidR="007C782F" w:rsidRPr="0092620C" w:rsidRDefault="007C782F" w:rsidP="0092620C">
      <w:pPr>
        <w:rPr>
          <w:rFonts w:eastAsiaTheme="majorEastAsia" w:cstheme="majorBidi"/>
          <w:b/>
          <w:bCs/>
          <w:iCs/>
          <w:color w:val="154593"/>
        </w:rPr>
        <w:sectPr w:rsidR="007C782F" w:rsidRPr="0092620C" w:rsidSect="003F597E">
          <w:pgSz w:w="11907" w:h="16840" w:code="9"/>
          <w:pgMar w:top="1134" w:right="1440" w:bottom="1440" w:left="1440" w:header="720" w:footer="709" w:gutter="0"/>
          <w:cols w:space="720"/>
          <w:titlePg/>
          <w:docGrid w:linePitch="326"/>
        </w:sectPr>
      </w:pPr>
    </w:p>
    <w:p w14:paraId="34967FED" w14:textId="77777777" w:rsidR="00CD65C5" w:rsidRPr="00973704" w:rsidRDefault="00CD65C5" w:rsidP="000B6A67">
      <w:pPr>
        <w:pStyle w:val="Heading2"/>
        <w:numPr>
          <w:ilvl w:val="1"/>
          <w:numId w:val="30"/>
        </w:numPr>
        <w:rPr>
          <w:color w:val="154593"/>
        </w:rPr>
      </w:pPr>
      <w:bookmarkStart w:id="220" w:name="_Toc459621646"/>
      <w:bookmarkStart w:id="221" w:name="_Toc459625678"/>
      <w:bookmarkStart w:id="222" w:name="_Toc493506760"/>
      <w:bookmarkStart w:id="223" w:name="_Toc522094806"/>
      <w:r w:rsidRPr="00973704">
        <w:rPr>
          <w:color w:val="04356B"/>
        </w:rPr>
        <w:lastRenderedPageBreak/>
        <w:t>Stakeholder Engagement Strategy</w:t>
      </w:r>
      <w:bookmarkEnd w:id="220"/>
      <w:bookmarkEnd w:id="221"/>
      <w:bookmarkEnd w:id="222"/>
      <w:bookmarkEnd w:id="223"/>
      <w:r w:rsidRPr="00973704">
        <w:rPr>
          <w:color w:val="154593"/>
        </w:rPr>
        <w:t xml:space="preserve"> </w:t>
      </w:r>
      <w:bookmarkStart w:id="224" w:name="_Toc406579905"/>
      <w:bookmarkStart w:id="225" w:name="_Toc406580008"/>
      <w:bookmarkStart w:id="226" w:name="_Toc406580111"/>
      <w:bookmarkStart w:id="227" w:name="_Toc406580213"/>
      <w:bookmarkStart w:id="228" w:name="_Toc406580315"/>
      <w:bookmarkStart w:id="229" w:name="_Toc406580414"/>
      <w:bookmarkStart w:id="230" w:name="_Toc406579906"/>
      <w:bookmarkStart w:id="231" w:name="_Toc406580009"/>
      <w:bookmarkStart w:id="232" w:name="_Toc406580112"/>
      <w:bookmarkStart w:id="233" w:name="_Toc406580214"/>
      <w:bookmarkStart w:id="234" w:name="_Toc406580316"/>
      <w:bookmarkStart w:id="235" w:name="_Toc406580415"/>
      <w:bookmarkEnd w:id="224"/>
      <w:bookmarkEnd w:id="225"/>
      <w:bookmarkEnd w:id="226"/>
      <w:bookmarkEnd w:id="227"/>
      <w:bookmarkEnd w:id="228"/>
      <w:bookmarkEnd w:id="229"/>
      <w:bookmarkEnd w:id="230"/>
      <w:bookmarkEnd w:id="231"/>
      <w:bookmarkEnd w:id="232"/>
      <w:bookmarkEnd w:id="233"/>
      <w:bookmarkEnd w:id="234"/>
      <w:bookmarkEnd w:id="235"/>
    </w:p>
    <w:p w14:paraId="0CB68117" w14:textId="77777777" w:rsidR="00901FBF" w:rsidRDefault="00901FBF" w:rsidP="006C23BE"/>
    <w:p w14:paraId="7336443B" w14:textId="4A8A47CC" w:rsidR="00ED569F" w:rsidRPr="00A6373D" w:rsidRDefault="00ED569F" w:rsidP="00ED569F">
      <w:r>
        <w:t xml:space="preserve">Our </w:t>
      </w:r>
      <w:r w:rsidRPr="00A6373D">
        <w:t>Stakeholder Engagem</w:t>
      </w:r>
      <w:r w:rsidR="005167DA">
        <w:t xml:space="preserve">ent Strategy (SES) January 2017 – </w:t>
      </w:r>
      <w:r w:rsidRPr="00A6373D">
        <w:t>June 2018 guide</w:t>
      </w:r>
      <w:r>
        <w:t>s</w:t>
      </w:r>
      <w:r w:rsidRPr="00A6373D">
        <w:t xml:space="preserve"> the delivery of targeted stakeholder engagement programs and outreach activities for the Office. </w:t>
      </w:r>
    </w:p>
    <w:p w14:paraId="03E47AB5" w14:textId="77777777" w:rsidR="00ED569F" w:rsidRPr="00A6373D" w:rsidRDefault="00ED569F" w:rsidP="00ED569F"/>
    <w:p w14:paraId="6F441B30" w14:textId="4799A932" w:rsidR="00ED569F" w:rsidRPr="00A6373D" w:rsidRDefault="00ED569F" w:rsidP="00ED569F">
      <w:r w:rsidRPr="00A6373D">
        <w:t xml:space="preserve">The SES supports the delivery </w:t>
      </w:r>
      <w:r w:rsidR="005167DA">
        <w:t xml:space="preserve">of HaDSCO’s Strategic Plan 2017 – </w:t>
      </w:r>
      <w:r w:rsidRPr="00A6373D">
        <w:t xml:space="preserve">2021 and ensures effective stakeholder engagement through projects, programs and services tailored towards key groups and sectors. The SES establishes six program areas as follows: </w:t>
      </w:r>
    </w:p>
    <w:p w14:paraId="22D3EB70" w14:textId="77777777" w:rsidR="00ED569F" w:rsidRPr="00A6373D" w:rsidRDefault="00ED569F" w:rsidP="00ED569F"/>
    <w:p w14:paraId="36FBE9DA" w14:textId="77777777" w:rsidR="00ED569F" w:rsidRPr="00A6373D" w:rsidRDefault="00ED569F" w:rsidP="000B6A67">
      <w:pPr>
        <w:numPr>
          <w:ilvl w:val="0"/>
          <w:numId w:val="5"/>
        </w:numPr>
        <w:ind w:left="426"/>
        <w:contextualSpacing/>
      </w:pPr>
      <w:r w:rsidRPr="00A6373D">
        <w:t xml:space="preserve">Communications  </w:t>
      </w:r>
    </w:p>
    <w:p w14:paraId="79471294" w14:textId="77777777" w:rsidR="00ED569F" w:rsidRPr="00A6373D" w:rsidRDefault="00ED569F" w:rsidP="000B6A67">
      <w:pPr>
        <w:numPr>
          <w:ilvl w:val="0"/>
          <w:numId w:val="5"/>
        </w:numPr>
        <w:ind w:left="426"/>
        <w:contextualSpacing/>
      </w:pPr>
      <w:r w:rsidRPr="00A6373D">
        <w:t>Regional, remote and diverse communities</w:t>
      </w:r>
    </w:p>
    <w:p w14:paraId="36A0B56C" w14:textId="77777777" w:rsidR="00ED569F" w:rsidRPr="00A6373D" w:rsidRDefault="00ED569F" w:rsidP="000B6A67">
      <w:pPr>
        <w:numPr>
          <w:ilvl w:val="0"/>
          <w:numId w:val="5"/>
        </w:numPr>
        <w:ind w:left="426"/>
        <w:contextualSpacing/>
      </w:pPr>
      <w:r w:rsidRPr="00A6373D">
        <w:t>Health sector engagement</w:t>
      </w:r>
    </w:p>
    <w:p w14:paraId="4E5CBB3D" w14:textId="77777777" w:rsidR="00ED569F" w:rsidRPr="00A6373D" w:rsidRDefault="00ED569F" w:rsidP="000B6A67">
      <w:pPr>
        <w:numPr>
          <w:ilvl w:val="0"/>
          <w:numId w:val="5"/>
        </w:numPr>
        <w:ind w:left="426"/>
        <w:contextualSpacing/>
      </w:pPr>
      <w:r w:rsidRPr="00A6373D">
        <w:t>Disability sector engagement</w:t>
      </w:r>
    </w:p>
    <w:p w14:paraId="5687E62E" w14:textId="77777777" w:rsidR="00ED569F" w:rsidRPr="00A6373D" w:rsidRDefault="00ED569F" w:rsidP="000B6A67">
      <w:pPr>
        <w:numPr>
          <w:ilvl w:val="0"/>
          <w:numId w:val="5"/>
        </w:numPr>
        <w:ind w:left="426"/>
        <w:contextualSpacing/>
      </w:pPr>
      <w:r w:rsidRPr="00A6373D">
        <w:t>Mental health sector engagement</w:t>
      </w:r>
    </w:p>
    <w:p w14:paraId="36965671" w14:textId="77777777" w:rsidR="00ED569F" w:rsidRPr="00A6373D" w:rsidRDefault="00ED569F" w:rsidP="000B6A67">
      <w:pPr>
        <w:numPr>
          <w:ilvl w:val="0"/>
          <w:numId w:val="5"/>
        </w:numPr>
        <w:ind w:left="426"/>
        <w:contextualSpacing/>
      </w:pPr>
      <w:r w:rsidRPr="00A6373D">
        <w:t>Community engagement.</w:t>
      </w:r>
    </w:p>
    <w:p w14:paraId="407EFDD3" w14:textId="77777777" w:rsidR="00ED569F" w:rsidRPr="00A6373D" w:rsidRDefault="00ED569F" w:rsidP="00ED569F"/>
    <w:p w14:paraId="62DC5A26" w14:textId="01B7DF79" w:rsidR="00ED569F" w:rsidRPr="00A6373D" w:rsidRDefault="00ED569F" w:rsidP="00ED569F">
      <w:r w:rsidRPr="00A6373D">
        <w:t>The SES also includes an engagement strategy for the Indian Ocean Territories which covers visits to the region, including outreach activities and development</w:t>
      </w:r>
      <w:r w:rsidR="001D7743">
        <w:t>,</w:t>
      </w:r>
      <w:r w:rsidRPr="00A6373D">
        <w:t xml:space="preserve"> and distribution of resources. </w:t>
      </w:r>
    </w:p>
    <w:p w14:paraId="3A7B3D1F" w14:textId="77777777" w:rsidR="00ED569F" w:rsidRPr="00A6373D" w:rsidRDefault="00ED569F" w:rsidP="00ED569F"/>
    <w:p w14:paraId="24E49585" w14:textId="77777777" w:rsidR="00ED569F" w:rsidRPr="00A6373D" w:rsidRDefault="00ED569F" w:rsidP="00ED569F">
      <w:r w:rsidRPr="00A6373D">
        <w:t xml:space="preserve">In delivering the SES, we undertook a broad range of outreach activities in </w:t>
      </w:r>
      <w:r>
        <w:t>2017-18</w:t>
      </w:r>
      <w:r w:rsidRPr="00A6373D">
        <w:t xml:space="preserve"> including:</w:t>
      </w:r>
    </w:p>
    <w:p w14:paraId="7048DF30" w14:textId="77777777" w:rsidR="00ED569F" w:rsidRPr="00A6373D" w:rsidRDefault="00ED569F" w:rsidP="00ED569F"/>
    <w:p w14:paraId="36A72668" w14:textId="77777777" w:rsidR="00ED569F" w:rsidRPr="00A6373D" w:rsidRDefault="00ED569F" w:rsidP="000B6A67">
      <w:pPr>
        <w:numPr>
          <w:ilvl w:val="0"/>
          <w:numId w:val="9"/>
        </w:numPr>
        <w:autoSpaceDE w:val="0"/>
        <w:autoSpaceDN w:val="0"/>
        <w:adjustRightInd w:val="0"/>
        <w:ind w:left="426"/>
        <w:contextualSpacing/>
        <w:rPr>
          <w:rFonts w:eastAsia="Calibri"/>
        </w:rPr>
      </w:pPr>
      <w:r w:rsidRPr="00A6373D">
        <w:rPr>
          <w:rFonts w:eastAsia="Calibri"/>
        </w:rPr>
        <w:t>Consultations with key groups to share and exchange views and seek advice.</w:t>
      </w:r>
    </w:p>
    <w:p w14:paraId="457921E6" w14:textId="1C9D2BC6" w:rsidR="00ED569F" w:rsidRPr="00A6373D" w:rsidRDefault="00ED569F" w:rsidP="000B6A67">
      <w:pPr>
        <w:numPr>
          <w:ilvl w:val="0"/>
          <w:numId w:val="9"/>
        </w:numPr>
        <w:autoSpaceDE w:val="0"/>
        <w:autoSpaceDN w:val="0"/>
        <w:adjustRightInd w:val="0"/>
        <w:ind w:left="426"/>
        <w:contextualSpacing/>
        <w:rPr>
          <w:lang w:eastAsia="en-AU"/>
        </w:rPr>
      </w:pPr>
      <w:r w:rsidRPr="00A6373D">
        <w:rPr>
          <w:rFonts w:eastAsia="Calibri"/>
        </w:rPr>
        <w:t xml:space="preserve">Awareness raising activities to </w:t>
      </w:r>
      <w:r w:rsidRPr="00A6373D">
        <w:rPr>
          <w:lang w:eastAsia="en-AU"/>
        </w:rPr>
        <w:t>promote HaDSCO’s services, increase knowledge of effective complaints management practices</w:t>
      </w:r>
      <w:r w:rsidR="001D7743">
        <w:rPr>
          <w:lang w:eastAsia="en-AU"/>
        </w:rPr>
        <w:t>,</w:t>
      </w:r>
      <w:r w:rsidRPr="00A6373D">
        <w:rPr>
          <w:lang w:eastAsia="en-AU"/>
        </w:rPr>
        <w:t xml:space="preserve"> and raise awareness of patterns and trends resulting from analysis of complaints data.</w:t>
      </w:r>
    </w:p>
    <w:p w14:paraId="53163E49" w14:textId="77777777" w:rsidR="00ED569F" w:rsidRPr="00A6373D" w:rsidRDefault="00ED569F" w:rsidP="000B6A67">
      <w:pPr>
        <w:numPr>
          <w:ilvl w:val="0"/>
          <w:numId w:val="9"/>
        </w:numPr>
        <w:autoSpaceDE w:val="0"/>
        <w:autoSpaceDN w:val="0"/>
        <w:adjustRightInd w:val="0"/>
        <w:ind w:left="426"/>
        <w:contextualSpacing/>
        <w:rPr>
          <w:rFonts w:eastAsia="Calibri"/>
        </w:rPr>
      </w:pPr>
      <w:r w:rsidRPr="00A6373D">
        <w:rPr>
          <w:rFonts w:eastAsia="Calibri"/>
        </w:rPr>
        <w:t>Presentations to provide a range of general and tailored information to stakeholders.</w:t>
      </w:r>
    </w:p>
    <w:p w14:paraId="1760462C" w14:textId="77777777" w:rsidR="00ED569F" w:rsidRPr="00A6373D" w:rsidRDefault="00ED569F" w:rsidP="000B6A67">
      <w:pPr>
        <w:numPr>
          <w:ilvl w:val="0"/>
          <w:numId w:val="9"/>
        </w:numPr>
        <w:autoSpaceDE w:val="0"/>
        <w:autoSpaceDN w:val="0"/>
        <w:adjustRightInd w:val="0"/>
        <w:ind w:left="426"/>
        <w:contextualSpacing/>
        <w:rPr>
          <w:rFonts w:eastAsia="Calibri" w:cs="Times New Roman"/>
          <w:spacing w:val="-5"/>
        </w:rPr>
      </w:pPr>
      <w:r w:rsidRPr="00A6373D">
        <w:rPr>
          <w:rFonts w:eastAsia="Calibri"/>
        </w:rPr>
        <w:t>Networking opportunities to build relationships with service providers, government agencies and consumer groups.</w:t>
      </w:r>
    </w:p>
    <w:p w14:paraId="6370BCAE" w14:textId="77777777" w:rsidR="00ED569F" w:rsidRPr="00A6373D" w:rsidRDefault="00ED569F" w:rsidP="00ED569F"/>
    <w:p w14:paraId="77034FFA" w14:textId="77777777" w:rsidR="00ED569F" w:rsidRPr="00A6373D" w:rsidRDefault="00ED569F" w:rsidP="00ED569F">
      <w:r w:rsidRPr="00A6373D">
        <w:t xml:space="preserve">Details of the outcomes achieved under the SES are provided below.  </w:t>
      </w:r>
    </w:p>
    <w:p w14:paraId="552011D2" w14:textId="77777777" w:rsidR="00ED569F" w:rsidRPr="00A6373D" w:rsidRDefault="00ED569F" w:rsidP="00ED569F"/>
    <w:p w14:paraId="4A5883A0" w14:textId="77777777" w:rsidR="00ED569F" w:rsidRPr="006400C4" w:rsidRDefault="00ED569F" w:rsidP="006400C4">
      <w:pPr>
        <w:pStyle w:val="Heading2"/>
        <w:numPr>
          <w:ilvl w:val="1"/>
          <w:numId w:val="30"/>
        </w:numPr>
        <w:rPr>
          <w:color w:val="04356B"/>
        </w:rPr>
      </w:pPr>
      <w:bookmarkStart w:id="236" w:name="_Toc493506761"/>
      <w:bookmarkStart w:id="237" w:name="_Toc522094807"/>
      <w:r w:rsidRPr="006400C4">
        <w:rPr>
          <w:color w:val="04356B"/>
        </w:rPr>
        <w:t>Working collaboratively and sharing expertise</w:t>
      </w:r>
      <w:bookmarkEnd w:id="236"/>
      <w:bookmarkEnd w:id="237"/>
    </w:p>
    <w:p w14:paraId="40BE5EE7" w14:textId="77777777" w:rsidR="00ED569F" w:rsidRDefault="00ED569F" w:rsidP="00ED569F">
      <w:pPr>
        <w:outlineLvl w:val="2"/>
        <w:rPr>
          <w:rFonts w:eastAsia="MS Gothic" w:cs="Times New Roman"/>
          <w:b/>
          <w:bCs/>
          <w:iCs/>
          <w:sz w:val="28"/>
        </w:rPr>
      </w:pPr>
    </w:p>
    <w:p w14:paraId="624B8C39" w14:textId="77777777" w:rsidR="00ED569F" w:rsidRPr="00ED569F" w:rsidRDefault="00ED569F" w:rsidP="00ED569F">
      <w:pPr>
        <w:rPr>
          <w:rFonts w:eastAsia="MS Gothic"/>
          <w:b/>
          <w:sz w:val="28"/>
          <w:szCs w:val="28"/>
        </w:rPr>
      </w:pPr>
      <w:r w:rsidRPr="00ED569F">
        <w:rPr>
          <w:rFonts w:eastAsia="MS Gothic"/>
          <w:b/>
          <w:sz w:val="28"/>
          <w:szCs w:val="28"/>
        </w:rPr>
        <w:t>Health</w:t>
      </w:r>
    </w:p>
    <w:p w14:paraId="074F4B6A" w14:textId="77777777" w:rsidR="00ED569F" w:rsidRDefault="00ED569F" w:rsidP="00ED569F">
      <w:pPr>
        <w:outlineLvl w:val="2"/>
        <w:rPr>
          <w:rFonts w:eastAsia="MS Gothic" w:cs="Times New Roman"/>
          <w:b/>
          <w:bCs/>
          <w:iCs/>
          <w:sz w:val="28"/>
        </w:rPr>
      </w:pPr>
    </w:p>
    <w:p w14:paraId="080CD9C8" w14:textId="76DF8CD1" w:rsidR="00ED569F" w:rsidRPr="00ED569F" w:rsidRDefault="00ED569F" w:rsidP="00ED569F">
      <w:pPr>
        <w:rPr>
          <w:rFonts w:eastAsia="MS Gothic"/>
          <w:b/>
        </w:rPr>
      </w:pPr>
      <w:r w:rsidRPr="00ED569F">
        <w:rPr>
          <w:rFonts w:eastAsia="MS Gothic"/>
          <w:b/>
        </w:rPr>
        <w:t xml:space="preserve">National Code </w:t>
      </w:r>
      <w:r w:rsidR="00F65DB3">
        <w:rPr>
          <w:rFonts w:eastAsia="MS Gothic"/>
          <w:b/>
        </w:rPr>
        <w:t xml:space="preserve">of Conduct </w:t>
      </w:r>
      <w:r w:rsidRPr="00ED569F">
        <w:rPr>
          <w:rFonts w:eastAsia="MS Gothic"/>
          <w:b/>
        </w:rPr>
        <w:t xml:space="preserve">Working Group </w:t>
      </w:r>
    </w:p>
    <w:p w14:paraId="700B90F0" w14:textId="481B4334" w:rsidR="00ED569F" w:rsidRDefault="00ED569F" w:rsidP="00ED569F">
      <w:r w:rsidRPr="00BB67AF">
        <w:rPr>
          <w:rFonts w:eastAsia="MS Gothic"/>
        </w:rPr>
        <w:t>HaDSCO con</w:t>
      </w:r>
      <w:r>
        <w:rPr>
          <w:rFonts w:eastAsia="MS Gothic"/>
        </w:rPr>
        <w:t>tinued to participate in the National Code Working Group which was established in 2016 to implemen</w:t>
      </w:r>
      <w:r w:rsidRPr="005663AD">
        <w:rPr>
          <w:rFonts w:eastAsia="MS Gothic"/>
        </w:rPr>
        <w:t>t elements of the National Code</w:t>
      </w:r>
      <w:r w:rsidR="00083B88">
        <w:rPr>
          <w:rFonts w:eastAsia="MS Gothic"/>
        </w:rPr>
        <w:t xml:space="preserve"> of Conduct for health care w</w:t>
      </w:r>
      <w:r>
        <w:rPr>
          <w:rFonts w:eastAsia="MS Gothic"/>
        </w:rPr>
        <w:t>orkers</w:t>
      </w:r>
      <w:r w:rsidRPr="005663AD">
        <w:rPr>
          <w:rFonts w:eastAsia="MS Gothic"/>
        </w:rPr>
        <w:t xml:space="preserve"> </w:t>
      </w:r>
      <w:r>
        <w:rPr>
          <w:rFonts w:eastAsia="MS Gothic"/>
        </w:rPr>
        <w:t xml:space="preserve">(National Code) </w:t>
      </w:r>
      <w:r w:rsidRPr="005663AD">
        <w:rPr>
          <w:rFonts w:eastAsia="MS Gothic"/>
        </w:rPr>
        <w:t>that require coordinated national action</w:t>
      </w:r>
      <w:r>
        <w:rPr>
          <w:rFonts w:eastAsia="MS Gothic"/>
        </w:rPr>
        <w:t xml:space="preserve">. The </w:t>
      </w:r>
      <w:r w:rsidRPr="005663AD">
        <w:rPr>
          <w:rFonts w:eastAsia="MS Gothic"/>
        </w:rPr>
        <w:t xml:space="preserve">Working Group is </w:t>
      </w:r>
      <w:r>
        <w:rPr>
          <w:rFonts w:eastAsia="MS Gothic"/>
        </w:rPr>
        <w:t xml:space="preserve">being </w:t>
      </w:r>
      <w:r w:rsidRPr="005663AD">
        <w:rPr>
          <w:rFonts w:eastAsia="MS Gothic"/>
        </w:rPr>
        <w:t>led by the Department of Health and Human Services</w:t>
      </w:r>
      <w:r>
        <w:rPr>
          <w:rFonts w:eastAsia="MS Gothic"/>
        </w:rPr>
        <w:t xml:space="preserve"> (DHHS)</w:t>
      </w:r>
      <w:r w:rsidRPr="005663AD">
        <w:rPr>
          <w:rFonts w:eastAsia="MS Gothic"/>
        </w:rPr>
        <w:t>, Victoria.</w:t>
      </w:r>
      <w:r w:rsidRPr="005663AD">
        <w:t xml:space="preserve"> </w:t>
      </w:r>
      <w:r w:rsidRPr="00A6373D">
        <w:t>During 20</w:t>
      </w:r>
      <w:r>
        <w:t>17</w:t>
      </w:r>
      <w:r w:rsidRPr="00A6373D">
        <w:t>-1</w:t>
      </w:r>
      <w:r>
        <w:t>8</w:t>
      </w:r>
      <w:r w:rsidRPr="00A6373D">
        <w:t xml:space="preserve">, HaDSCO staff attended </w:t>
      </w:r>
      <w:r w:rsidRPr="00B2176D">
        <w:t>seven</w:t>
      </w:r>
      <w:r w:rsidRPr="00A6373D">
        <w:t xml:space="preserve"> Working Group and </w:t>
      </w:r>
      <w:r w:rsidRPr="00B2176D">
        <w:t xml:space="preserve">one </w:t>
      </w:r>
      <w:r w:rsidRPr="00A6373D">
        <w:t xml:space="preserve">Sub-Working Group meetings by teleconference with other Health Complaint Entities (HCEs) and the DHHS. </w:t>
      </w:r>
    </w:p>
    <w:p w14:paraId="06C44BBD" w14:textId="77777777" w:rsidR="00ED569F" w:rsidRDefault="00ED569F" w:rsidP="00ED569F"/>
    <w:p w14:paraId="339A5193" w14:textId="76FBCA5E" w:rsidR="00ED569F" w:rsidRPr="00A6373D" w:rsidRDefault="00ED569F" w:rsidP="00ED569F">
      <w:pPr>
        <w:rPr>
          <w:rFonts w:eastAsia="Calibri"/>
          <w:lang w:val="en-US"/>
        </w:rPr>
      </w:pPr>
      <w:r w:rsidRPr="00A6373D">
        <w:lastRenderedPageBreak/>
        <w:t xml:space="preserve">As a member, HaDSCO </w:t>
      </w:r>
      <w:r>
        <w:t xml:space="preserve">has been </w:t>
      </w:r>
      <w:r w:rsidRPr="00A6373D">
        <w:t>contribut</w:t>
      </w:r>
      <w:r>
        <w:t>ing</w:t>
      </w:r>
      <w:r w:rsidRPr="00A6373D">
        <w:t xml:space="preserve"> to the development of a </w:t>
      </w:r>
      <w:r w:rsidRPr="00A6373D">
        <w:rPr>
          <w:rFonts w:eastAsia="Calibri"/>
          <w:lang w:val="en-US"/>
        </w:rPr>
        <w:t>common web</w:t>
      </w:r>
      <w:r w:rsidR="00F65DB3">
        <w:rPr>
          <w:rFonts w:eastAsia="Calibri"/>
          <w:lang w:val="en-US"/>
        </w:rPr>
        <w:t>site</w:t>
      </w:r>
      <w:r w:rsidRPr="00A6373D">
        <w:rPr>
          <w:rFonts w:eastAsia="Calibri"/>
          <w:lang w:val="en-US"/>
        </w:rPr>
        <w:t xml:space="preserve"> </w:t>
      </w:r>
      <w:r>
        <w:rPr>
          <w:rFonts w:eastAsia="Calibri"/>
          <w:lang w:val="en-US"/>
        </w:rPr>
        <w:t xml:space="preserve">for a National Register of prohibition orders and </w:t>
      </w:r>
      <w:r w:rsidRPr="005663AD">
        <w:rPr>
          <w:rFonts w:eastAsia="MS Gothic"/>
        </w:rPr>
        <w:t xml:space="preserve">to enable public access to all decisions and prohibition orders made by </w:t>
      </w:r>
      <w:r>
        <w:rPr>
          <w:rFonts w:eastAsia="MS Gothic"/>
        </w:rPr>
        <w:t>HCEs</w:t>
      </w:r>
      <w:r w:rsidRPr="005663AD">
        <w:rPr>
          <w:rFonts w:eastAsia="MS Gothic"/>
        </w:rPr>
        <w:t xml:space="preserve"> or tribunals in participating state</w:t>
      </w:r>
      <w:r w:rsidR="001D7743">
        <w:rPr>
          <w:rFonts w:eastAsia="MS Gothic"/>
        </w:rPr>
        <w:t>s</w:t>
      </w:r>
      <w:r w:rsidRPr="005663AD">
        <w:rPr>
          <w:rFonts w:eastAsia="MS Gothic"/>
        </w:rPr>
        <w:t xml:space="preserve"> and territories</w:t>
      </w:r>
      <w:r>
        <w:rPr>
          <w:rFonts w:eastAsia="MS Gothic"/>
        </w:rPr>
        <w:t xml:space="preserve">. </w:t>
      </w:r>
      <w:r>
        <w:rPr>
          <w:rFonts w:eastAsia="Calibri"/>
          <w:lang w:val="en-US"/>
        </w:rPr>
        <w:t xml:space="preserve">The website will also contain information on the National Code, including explanatory materials </w:t>
      </w:r>
      <w:r w:rsidRPr="00A6373D">
        <w:rPr>
          <w:rFonts w:eastAsia="Calibri"/>
          <w:lang w:val="en-US"/>
        </w:rPr>
        <w:t>and annual performance report</w:t>
      </w:r>
      <w:r>
        <w:rPr>
          <w:rFonts w:eastAsia="Calibri"/>
          <w:lang w:val="en-US"/>
        </w:rPr>
        <w:t>s</w:t>
      </w:r>
      <w:r w:rsidRPr="00A6373D">
        <w:rPr>
          <w:rFonts w:eastAsia="Calibri"/>
          <w:lang w:val="en-US"/>
        </w:rPr>
        <w:t xml:space="preserve">. </w:t>
      </w:r>
      <w:r>
        <w:rPr>
          <w:rFonts w:eastAsia="Calibri"/>
          <w:lang w:val="en-US"/>
        </w:rPr>
        <w:t>The website is in the process of being finalised for launch in the 2018-19</w:t>
      </w:r>
      <w:r w:rsidR="001D7743">
        <w:rPr>
          <w:rFonts w:eastAsia="Calibri"/>
          <w:lang w:val="en-US"/>
        </w:rPr>
        <w:t xml:space="preserve"> financial</w:t>
      </w:r>
      <w:r>
        <w:rPr>
          <w:rFonts w:eastAsia="Calibri"/>
          <w:lang w:val="en-US"/>
        </w:rPr>
        <w:t xml:space="preserve"> year.</w:t>
      </w:r>
    </w:p>
    <w:p w14:paraId="42384BEB" w14:textId="77777777" w:rsidR="00ED569F" w:rsidRPr="00A6373D" w:rsidRDefault="00ED569F" w:rsidP="00ED569F">
      <w:pPr>
        <w:rPr>
          <w:rFonts w:eastAsia="Calibri"/>
          <w:lang w:val="en-US"/>
        </w:rPr>
      </w:pPr>
    </w:p>
    <w:p w14:paraId="04C55635" w14:textId="0DFA4187" w:rsidR="00ED569F" w:rsidRDefault="00ED569F" w:rsidP="00ED569F">
      <w:pPr>
        <w:rPr>
          <w:rFonts w:eastAsia="Calibri"/>
          <w:lang w:val="en-US"/>
        </w:rPr>
      </w:pPr>
      <w:r w:rsidRPr="00A6373D">
        <w:rPr>
          <w:rFonts w:eastAsia="Calibri"/>
          <w:lang w:val="en-US"/>
        </w:rPr>
        <w:t xml:space="preserve">HaDSCO also </w:t>
      </w:r>
      <w:r>
        <w:rPr>
          <w:rFonts w:eastAsia="Calibri"/>
          <w:lang w:val="en-US"/>
        </w:rPr>
        <w:t xml:space="preserve">continued to </w:t>
      </w:r>
      <w:r w:rsidRPr="00A6373D">
        <w:rPr>
          <w:rFonts w:eastAsia="Calibri"/>
          <w:lang w:val="en-US"/>
        </w:rPr>
        <w:t xml:space="preserve">contribute to the development of a nationally consistent suite of explanatory materials to support the National Code, </w:t>
      </w:r>
      <w:r>
        <w:rPr>
          <w:rFonts w:eastAsia="Calibri"/>
          <w:lang w:val="en-US"/>
        </w:rPr>
        <w:t>including some Easy English documents to explain the National Code</w:t>
      </w:r>
      <w:r w:rsidRPr="00A6373D">
        <w:rPr>
          <w:rFonts w:eastAsia="Calibri"/>
          <w:lang w:val="en-US"/>
        </w:rPr>
        <w:t>.</w:t>
      </w:r>
      <w:r>
        <w:rPr>
          <w:rFonts w:eastAsia="Calibri"/>
          <w:lang w:val="en-US"/>
        </w:rPr>
        <w:t xml:space="preserve"> In addition, work is in progress to establish a common data framework for the collection and reporting of nationally consistent data on the performance of state and territory code-regulation regimes to enable a joint annual report to be provided annually to the C</w:t>
      </w:r>
      <w:r w:rsidR="00F65DB3">
        <w:rPr>
          <w:rFonts w:eastAsia="Calibri"/>
          <w:lang w:val="en-US"/>
        </w:rPr>
        <w:t>ouncil of Australian Governments (C</w:t>
      </w:r>
      <w:r>
        <w:rPr>
          <w:rFonts w:eastAsia="Calibri"/>
          <w:lang w:val="en-US"/>
        </w:rPr>
        <w:t>OAG</w:t>
      </w:r>
      <w:r w:rsidR="00F65DB3">
        <w:rPr>
          <w:rFonts w:eastAsia="Calibri"/>
          <w:lang w:val="en-US"/>
        </w:rPr>
        <w:t>)</w:t>
      </w:r>
      <w:r>
        <w:rPr>
          <w:rFonts w:eastAsia="Calibri"/>
          <w:lang w:val="en-US"/>
        </w:rPr>
        <w:t xml:space="preserve"> Health Council.</w:t>
      </w:r>
    </w:p>
    <w:p w14:paraId="2188EEF2" w14:textId="77777777" w:rsidR="00ED569F" w:rsidRDefault="00ED569F" w:rsidP="00ED569F">
      <w:pPr>
        <w:rPr>
          <w:rFonts w:eastAsia="MS Gothic"/>
        </w:rPr>
      </w:pPr>
    </w:p>
    <w:p w14:paraId="1D437C87" w14:textId="77777777" w:rsidR="00ED569F" w:rsidRPr="00ED569F" w:rsidRDefault="00ED569F" w:rsidP="00ED569F">
      <w:pPr>
        <w:rPr>
          <w:rFonts w:eastAsia="MS Gothic"/>
          <w:b/>
        </w:rPr>
      </w:pPr>
      <w:r w:rsidRPr="00ED569F">
        <w:rPr>
          <w:rFonts w:eastAsia="MS Gothic"/>
          <w:b/>
        </w:rPr>
        <w:t>Australian Health Practitioner Regulation Agency and the registration practitioner boards</w:t>
      </w:r>
    </w:p>
    <w:p w14:paraId="410D0CE0" w14:textId="64431F3C" w:rsidR="00ED569F" w:rsidRPr="0065617A" w:rsidRDefault="00ED569F" w:rsidP="00ED569F">
      <w:pPr>
        <w:rPr>
          <w:rFonts w:eastAsia="MS Gothic"/>
        </w:rPr>
      </w:pPr>
      <w:r w:rsidRPr="0065617A">
        <w:rPr>
          <w:rFonts w:eastAsia="MS Gothic"/>
        </w:rPr>
        <w:t xml:space="preserve">Maintaining a strong working relationship with the Australian Health Practitioner Regulation Agency (AHPRA) and sharing expertise about roles and responsibilities for complaints is important to ensure the consultation process for complaints operates efficiently and effectively. During 2017-18, HaDSCO met with AHPRA at various times. This included consultation meetings on amendments to the </w:t>
      </w:r>
      <w:r w:rsidRPr="00F65DB3">
        <w:rPr>
          <w:rFonts w:eastAsia="MS Gothic"/>
          <w:i/>
        </w:rPr>
        <w:t xml:space="preserve">Health Practitioner Regulation National Law </w:t>
      </w:r>
      <w:r w:rsidR="002B7282">
        <w:rPr>
          <w:rFonts w:eastAsia="MS Gothic"/>
          <w:i/>
        </w:rPr>
        <w:t xml:space="preserve">(WA) </w:t>
      </w:r>
      <w:r w:rsidRPr="00F65DB3">
        <w:rPr>
          <w:rFonts w:eastAsia="MS Gothic"/>
          <w:i/>
        </w:rPr>
        <w:t xml:space="preserve">Amendment </w:t>
      </w:r>
      <w:r w:rsidR="002B7282">
        <w:rPr>
          <w:rFonts w:eastAsia="MS Gothic"/>
          <w:i/>
        </w:rPr>
        <w:t>Act 2018</w:t>
      </w:r>
      <w:r w:rsidRPr="0065617A">
        <w:rPr>
          <w:rFonts w:eastAsia="MS Gothic"/>
        </w:rPr>
        <w:t xml:space="preserve"> and related matters. HaDSCO continued to apply its learnings from these consultation opportunities</w:t>
      </w:r>
      <w:r w:rsidR="00D42B38">
        <w:rPr>
          <w:rFonts w:eastAsia="MS Gothic"/>
        </w:rPr>
        <w:t>,</w:t>
      </w:r>
      <w:r w:rsidRPr="0065617A">
        <w:rPr>
          <w:rFonts w:eastAsia="MS Gothic"/>
        </w:rPr>
        <w:t xml:space="preserve"> particularly in determining complaint jurisdiction matters.</w:t>
      </w:r>
    </w:p>
    <w:p w14:paraId="2CB3D24E" w14:textId="77777777" w:rsidR="00ED569F" w:rsidRPr="0065617A" w:rsidRDefault="00ED569F" w:rsidP="00ED569F">
      <w:pPr>
        <w:rPr>
          <w:rFonts w:eastAsia="MS Gothic"/>
        </w:rPr>
      </w:pPr>
    </w:p>
    <w:p w14:paraId="0997C784" w14:textId="6D5487AD" w:rsidR="00ED569F" w:rsidRDefault="00ED569F" w:rsidP="00ED569F">
      <w:pPr>
        <w:rPr>
          <w:rFonts w:eastAsia="MS Gothic"/>
        </w:rPr>
      </w:pPr>
      <w:r w:rsidRPr="0065617A">
        <w:rPr>
          <w:rFonts w:eastAsia="MS Gothic"/>
        </w:rPr>
        <w:t>HaDSCO gave a presentation to AHPRA staff from Western Australia and South Australia on the role and functions of HaDSCO to increase awareness about the range and nature of complaint issues managed by HaDSCO.</w:t>
      </w:r>
    </w:p>
    <w:p w14:paraId="1ECDC9E1" w14:textId="77777777" w:rsidR="00ED569F" w:rsidRDefault="00ED569F" w:rsidP="00ED569F">
      <w:pPr>
        <w:rPr>
          <w:rFonts w:eastAsia="MS Gothic"/>
        </w:rPr>
      </w:pPr>
    </w:p>
    <w:p w14:paraId="57C675AF" w14:textId="77777777" w:rsidR="00ED569F" w:rsidRDefault="00ED569F" w:rsidP="00ED569F">
      <w:pPr>
        <w:rPr>
          <w:rFonts w:eastAsia="MS Gothic"/>
        </w:rPr>
      </w:pPr>
      <w:r>
        <w:rPr>
          <w:rFonts w:eastAsia="MS Gothic"/>
        </w:rPr>
        <w:t xml:space="preserve">HaDSCO recognises key benefits in keeping informed about issues facing health practitioner regulation boards. In October 2017, staff met with </w:t>
      </w:r>
      <w:r w:rsidRPr="00E4179F">
        <w:rPr>
          <w:rFonts w:eastAsia="MS Gothic"/>
        </w:rPr>
        <w:t xml:space="preserve">the Chiropractic Board of Australia </w:t>
      </w:r>
      <w:r>
        <w:rPr>
          <w:rFonts w:eastAsia="MS Gothic"/>
        </w:rPr>
        <w:t>to share and exchange information about our respective roles and functions and to highlight the nature of issues raised in complaints about chiropractors to HaDSCO.</w:t>
      </w:r>
    </w:p>
    <w:p w14:paraId="739D9635" w14:textId="77777777" w:rsidR="00ED569F" w:rsidRDefault="00ED569F" w:rsidP="00ED569F">
      <w:pPr>
        <w:rPr>
          <w:rFonts w:eastAsia="MS Gothic"/>
        </w:rPr>
      </w:pPr>
    </w:p>
    <w:p w14:paraId="7F987513" w14:textId="77777777" w:rsidR="00ED569F" w:rsidRPr="00ED569F" w:rsidRDefault="00ED569F" w:rsidP="00ED569F">
      <w:pPr>
        <w:rPr>
          <w:rFonts w:eastAsia="MS Gothic"/>
          <w:b/>
        </w:rPr>
      </w:pPr>
      <w:r w:rsidRPr="00ED569F">
        <w:rPr>
          <w:rFonts w:eastAsia="MS Gothic"/>
          <w:b/>
        </w:rPr>
        <w:t xml:space="preserve">Sustainable Health Review – Quality and Value Working Group </w:t>
      </w:r>
    </w:p>
    <w:p w14:paraId="16D0437B" w14:textId="347E7E18" w:rsidR="00ED569F" w:rsidRDefault="00ED569F" w:rsidP="00ED569F">
      <w:pPr>
        <w:rPr>
          <w:rFonts w:eastAsia="MS Gothic"/>
        </w:rPr>
      </w:pPr>
      <w:r>
        <w:rPr>
          <w:rFonts w:eastAsia="MS Gothic"/>
        </w:rPr>
        <w:t xml:space="preserve">In October 2017, HaDSCO was invited to become a member of the Sustainable Health Review (SHR) Quality and Value Working Group </w:t>
      </w:r>
      <w:r w:rsidRPr="00A34DC8">
        <w:rPr>
          <w:rFonts w:eastAsia="MS Gothic"/>
        </w:rPr>
        <w:t xml:space="preserve">This Working Group </w:t>
      </w:r>
      <w:r>
        <w:rPr>
          <w:rFonts w:eastAsia="MS Gothic"/>
        </w:rPr>
        <w:t xml:space="preserve">was set up to </w:t>
      </w:r>
      <w:r w:rsidRPr="00A34DC8">
        <w:rPr>
          <w:rFonts w:eastAsia="MS Gothic"/>
        </w:rPr>
        <w:t>focus on opportunities and strategies to enhance and improve safety, quality and value to support the medium and long term financial sustainability of the W</w:t>
      </w:r>
      <w:r w:rsidR="002B7282">
        <w:rPr>
          <w:rFonts w:eastAsia="MS Gothic"/>
        </w:rPr>
        <w:t xml:space="preserve">estern </w:t>
      </w:r>
      <w:r w:rsidRPr="00A34DC8">
        <w:rPr>
          <w:rFonts w:eastAsia="MS Gothic"/>
        </w:rPr>
        <w:t>A</w:t>
      </w:r>
      <w:r w:rsidR="002B7282">
        <w:rPr>
          <w:rFonts w:eastAsia="MS Gothic"/>
        </w:rPr>
        <w:t>ustralian</w:t>
      </w:r>
      <w:r w:rsidRPr="00A34DC8">
        <w:rPr>
          <w:rFonts w:eastAsia="MS Gothic"/>
        </w:rPr>
        <w:t xml:space="preserve"> health system. </w:t>
      </w:r>
    </w:p>
    <w:p w14:paraId="4EB9769C" w14:textId="77777777" w:rsidR="00ED569F" w:rsidRDefault="00ED569F" w:rsidP="00ED569F">
      <w:pPr>
        <w:rPr>
          <w:rFonts w:eastAsia="MS Gothic"/>
        </w:rPr>
      </w:pPr>
    </w:p>
    <w:p w14:paraId="3C082FF7" w14:textId="73B83C60" w:rsidR="00ED569F" w:rsidRDefault="00ED569F" w:rsidP="00ED569F">
      <w:pPr>
        <w:rPr>
          <w:rFonts w:eastAsia="MS Gothic"/>
        </w:rPr>
      </w:pPr>
      <w:r>
        <w:rPr>
          <w:rFonts w:eastAsia="MS Gothic"/>
        </w:rPr>
        <w:t xml:space="preserve">Over a series of six meetings and workshops between November 2017 and March 2018, the Quality and Value Working Group identified </w:t>
      </w:r>
      <w:r w:rsidRPr="008148CB">
        <w:rPr>
          <w:rFonts w:eastAsia="MS Gothic"/>
        </w:rPr>
        <w:t>six foundations of quality, high value healthcare</w:t>
      </w:r>
      <w:r>
        <w:rPr>
          <w:rFonts w:eastAsia="MS Gothic"/>
        </w:rPr>
        <w:t xml:space="preserve"> and identified exemplars from across the world that were presented to the SHR Panel in March</w:t>
      </w:r>
      <w:r w:rsidR="002B7282">
        <w:rPr>
          <w:rFonts w:eastAsia="MS Gothic"/>
        </w:rPr>
        <w:t xml:space="preserve"> 2018</w:t>
      </w:r>
      <w:r>
        <w:rPr>
          <w:rFonts w:eastAsia="MS Gothic"/>
        </w:rPr>
        <w:t>.</w:t>
      </w:r>
    </w:p>
    <w:p w14:paraId="2124E2C9" w14:textId="7DF13106" w:rsidR="002B7282" w:rsidRDefault="002B7282">
      <w:pPr>
        <w:spacing w:after="200" w:line="276" w:lineRule="auto"/>
        <w:rPr>
          <w:rFonts w:eastAsia="MS Gothic"/>
        </w:rPr>
      </w:pPr>
      <w:r>
        <w:rPr>
          <w:rFonts w:eastAsia="MS Gothic"/>
        </w:rPr>
        <w:br w:type="page"/>
      </w:r>
    </w:p>
    <w:p w14:paraId="1F1CFA82" w14:textId="77777777" w:rsidR="00ED569F" w:rsidRDefault="00ED569F" w:rsidP="00ED569F">
      <w:pPr>
        <w:rPr>
          <w:rFonts w:eastAsia="MS Gothic"/>
        </w:rPr>
      </w:pPr>
      <w:r>
        <w:rPr>
          <w:rFonts w:eastAsia="MS Gothic"/>
        </w:rPr>
        <w:lastRenderedPageBreak/>
        <w:t>The foundations were:</w:t>
      </w:r>
    </w:p>
    <w:p w14:paraId="35C31DA0" w14:textId="77777777" w:rsidR="00ED569F" w:rsidRPr="008148CB" w:rsidRDefault="00ED569F" w:rsidP="00ED569F">
      <w:pPr>
        <w:ind w:left="284" w:hanging="284"/>
        <w:rPr>
          <w:rFonts w:eastAsia="MS Gothic"/>
        </w:rPr>
      </w:pPr>
      <w:r w:rsidRPr="008148CB">
        <w:rPr>
          <w:rFonts w:eastAsia="MS Gothic"/>
        </w:rPr>
        <w:t>1. Quality in Healthcare</w:t>
      </w:r>
      <w:r>
        <w:rPr>
          <w:rFonts w:eastAsia="MS Gothic"/>
        </w:rPr>
        <w:t>.</w:t>
      </w:r>
    </w:p>
    <w:p w14:paraId="19545925" w14:textId="2D93ECCB" w:rsidR="00ED569F" w:rsidRPr="008148CB" w:rsidRDefault="00ED569F" w:rsidP="00ED569F">
      <w:pPr>
        <w:ind w:left="284" w:hanging="284"/>
        <w:rPr>
          <w:rFonts w:eastAsia="MS Gothic"/>
        </w:rPr>
      </w:pPr>
      <w:r w:rsidRPr="008148CB">
        <w:rPr>
          <w:rFonts w:eastAsia="MS Gothic"/>
        </w:rPr>
        <w:t>2. Optimising investments, including considerations for high value healthcare, community expectation</w:t>
      </w:r>
      <w:r w:rsidR="00060A74">
        <w:rPr>
          <w:rFonts w:eastAsia="MS Gothic"/>
        </w:rPr>
        <w:t>s</w:t>
      </w:r>
      <w:r w:rsidRPr="008148CB">
        <w:rPr>
          <w:rFonts w:eastAsia="MS Gothic"/>
        </w:rPr>
        <w:t xml:space="preserve"> and use of health economics data to inform investments</w:t>
      </w:r>
      <w:r>
        <w:rPr>
          <w:rFonts w:eastAsia="MS Gothic"/>
        </w:rPr>
        <w:t>.</w:t>
      </w:r>
    </w:p>
    <w:p w14:paraId="53ECA7FF" w14:textId="77777777" w:rsidR="00ED569F" w:rsidRPr="008148CB" w:rsidRDefault="00ED569F" w:rsidP="00ED569F">
      <w:pPr>
        <w:ind w:left="284" w:hanging="284"/>
        <w:rPr>
          <w:rFonts w:eastAsia="MS Gothic"/>
        </w:rPr>
      </w:pPr>
      <w:r w:rsidRPr="008148CB">
        <w:rPr>
          <w:rFonts w:eastAsia="MS Gothic"/>
        </w:rPr>
        <w:t>3. Transparency in the system regarding quality and cost</w:t>
      </w:r>
      <w:r>
        <w:rPr>
          <w:rFonts w:eastAsia="MS Gothic"/>
        </w:rPr>
        <w:t>.</w:t>
      </w:r>
    </w:p>
    <w:p w14:paraId="38F5CD62" w14:textId="5BC14B12" w:rsidR="00ED569F" w:rsidRPr="008148CB" w:rsidRDefault="00ED569F" w:rsidP="00ED569F">
      <w:pPr>
        <w:ind w:left="284" w:hanging="284"/>
        <w:rPr>
          <w:rFonts w:eastAsia="MS Gothic"/>
        </w:rPr>
      </w:pPr>
      <w:r w:rsidRPr="008148CB">
        <w:rPr>
          <w:rFonts w:eastAsia="MS Gothic"/>
        </w:rPr>
        <w:t>4. Focus on what matters to the patient; including the informed consumer, a patient</w:t>
      </w:r>
      <w:r w:rsidR="00D42B38">
        <w:rPr>
          <w:rFonts w:eastAsia="MS Gothic"/>
        </w:rPr>
        <w:t>’</w:t>
      </w:r>
      <w:r w:rsidRPr="008148CB">
        <w:rPr>
          <w:rFonts w:eastAsia="MS Gothic"/>
        </w:rPr>
        <w:t>s perspective on value and patient reported outcomes</w:t>
      </w:r>
      <w:r>
        <w:rPr>
          <w:rFonts w:eastAsia="MS Gothic"/>
        </w:rPr>
        <w:t>.</w:t>
      </w:r>
    </w:p>
    <w:p w14:paraId="48D50A15" w14:textId="77777777" w:rsidR="00ED569F" w:rsidRPr="008148CB" w:rsidRDefault="00ED569F" w:rsidP="00ED569F">
      <w:pPr>
        <w:ind w:left="284" w:hanging="284"/>
        <w:rPr>
          <w:rFonts w:eastAsia="MS Gothic"/>
        </w:rPr>
      </w:pPr>
      <w:r w:rsidRPr="008148CB">
        <w:rPr>
          <w:rFonts w:eastAsia="MS Gothic"/>
        </w:rPr>
        <w:t>5. Contemporary funding system to support quality and value</w:t>
      </w:r>
      <w:r>
        <w:rPr>
          <w:rFonts w:eastAsia="MS Gothic"/>
        </w:rPr>
        <w:t>.</w:t>
      </w:r>
    </w:p>
    <w:p w14:paraId="2FF0AD88" w14:textId="77777777" w:rsidR="00ED569F" w:rsidRDefault="00ED569F" w:rsidP="00ED569F">
      <w:pPr>
        <w:ind w:left="284" w:hanging="284"/>
        <w:rPr>
          <w:rFonts w:eastAsia="MS Gothic"/>
        </w:rPr>
      </w:pPr>
      <w:r w:rsidRPr="008148CB">
        <w:rPr>
          <w:rFonts w:eastAsia="MS Gothic"/>
        </w:rPr>
        <w:t>6. Partnerships and integration to support quality and value.</w:t>
      </w:r>
    </w:p>
    <w:p w14:paraId="3F3E1572" w14:textId="77777777" w:rsidR="00ED569F" w:rsidRDefault="00ED569F" w:rsidP="00ED569F">
      <w:pPr>
        <w:rPr>
          <w:rFonts w:eastAsia="MS Gothic"/>
        </w:rPr>
      </w:pPr>
    </w:p>
    <w:p w14:paraId="4BC9847D" w14:textId="745BC4F8" w:rsidR="00ED569F" w:rsidRDefault="00ED569F" w:rsidP="00ED569F">
      <w:pPr>
        <w:rPr>
          <w:rFonts w:eastAsia="MS Gothic"/>
        </w:rPr>
      </w:pPr>
      <w:r>
        <w:rPr>
          <w:rFonts w:eastAsia="MS Gothic"/>
        </w:rPr>
        <w:t>HaDSCO was pleased to have been involved as a member of the Working Group and to contribute to this signi</w:t>
      </w:r>
      <w:r w:rsidR="002B7282">
        <w:rPr>
          <w:rFonts w:eastAsia="MS Gothic"/>
        </w:rPr>
        <w:t xml:space="preserve">ficant health reform initiative and to the </w:t>
      </w:r>
      <w:r w:rsidR="002B7282">
        <w:rPr>
          <w:rFonts w:eastAsia="MS Gothic" w:cs="Times New Roman"/>
          <w:bCs/>
          <w:i/>
          <w:iCs/>
        </w:rPr>
        <w:t>Sustainable Health Review Interim Report to the Western Australian Government.</w:t>
      </w:r>
    </w:p>
    <w:p w14:paraId="0CEC9398" w14:textId="77777777" w:rsidR="00ED569F" w:rsidRDefault="00ED569F" w:rsidP="00ED569F">
      <w:pPr>
        <w:rPr>
          <w:rFonts w:eastAsia="MS Gothic"/>
        </w:rPr>
      </w:pPr>
    </w:p>
    <w:p w14:paraId="6AE6DC13" w14:textId="77777777" w:rsidR="00ED569F" w:rsidRPr="00ED569F" w:rsidRDefault="00ED569F" w:rsidP="00ED569F">
      <w:pPr>
        <w:rPr>
          <w:rFonts w:eastAsia="MS Gothic"/>
          <w:b/>
        </w:rPr>
      </w:pPr>
      <w:r w:rsidRPr="00ED569F">
        <w:rPr>
          <w:rFonts w:eastAsia="MS Gothic"/>
          <w:b/>
        </w:rPr>
        <w:t xml:space="preserve">Health Service Providers </w:t>
      </w:r>
    </w:p>
    <w:p w14:paraId="3595A509" w14:textId="47A02668" w:rsidR="00ED569F" w:rsidRPr="00991092" w:rsidRDefault="00ED569F" w:rsidP="00ED569F">
      <w:pPr>
        <w:rPr>
          <w:rFonts w:eastAsia="MS Gothic"/>
        </w:rPr>
      </w:pPr>
      <w:r w:rsidRPr="00991092">
        <w:rPr>
          <w:rFonts w:eastAsia="MS Gothic"/>
        </w:rPr>
        <w:t>HaDSCO continue</w:t>
      </w:r>
      <w:r>
        <w:rPr>
          <w:rFonts w:eastAsia="MS Gothic"/>
        </w:rPr>
        <w:t>d</w:t>
      </w:r>
      <w:r w:rsidRPr="00991092">
        <w:rPr>
          <w:rFonts w:eastAsia="MS Gothic"/>
        </w:rPr>
        <w:t xml:space="preserve"> to meet with health service providers to discuss complaint trends, systemic issues and complaints resolution best practice, to assist in improving service delivery across the sector. During 201</w:t>
      </w:r>
      <w:r>
        <w:rPr>
          <w:rFonts w:eastAsia="MS Gothic"/>
        </w:rPr>
        <w:t>7</w:t>
      </w:r>
      <w:r w:rsidRPr="00991092">
        <w:rPr>
          <w:rFonts w:eastAsia="MS Gothic"/>
        </w:rPr>
        <w:t>-1</w:t>
      </w:r>
      <w:r>
        <w:rPr>
          <w:rFonts w:eastAsia="MS Gothic"/>
        </w:rPr>
        <w:t>8</w:t>
      </w:r>
      <w:r w:rsidRPr="00991092">
        <w:rPr>
          <w:rFonts w:eastAsia="MS Gothic"/>
        </w:rPr>
        <w:t>, this included</w:t>
      </w:r>
      <w:r>
        <w:rPr>
          <w:rFonts w:eastAsia="MS Gothic"/>
        </w:rPr>
        <w:t xml:space="preserve"> engagement with</w:t>
      </w:r>
      <w:r w:rsidR="002B7282">
        <w:rPr>
          <w:rFonts w:eastAsia="MS Gothic"/>
        </w:rPr>
        <w:t xml:space="preserve"> the</w:t>
      </w:r>
      <w:r w:rsidRPr="00991092">
        <w:rPr>
          <w:rFonts w:eastAsia="MS Gothic"/>
        </w:rPr>
        <w:t xml:space="preserve">: </w:t>
      </w:r>
    </w:p>
    <w:p w14:paraId="48E925E8" w14:textId="7FA05633" w:rsidR="00ED569F" w:rsidRPr="00ED569F" w:rsidRDefault="00ED569F" w:rsidP="000B6A67">
      <w:pPr>
        <w:pStyle w:val="ListParagraph"/>
        <w:numPr>
          <w:ilvl w:val="0"/>
          <w:numId w:val="44"/>
        </w:numPr>
        <w:ind w:left="284" w:hanging="284"/>
        <w:rPr>
          <w:rFonts w:eastAsia="MS Gothic"/>
        </w:rPr>
      </w:pPr>
      <w:r w:rsidRPr="00ED569F">
        <w:rPr>
          <w:rFonts w:eastAsia="MS Gothic"/>
        </w:rPr>
        <w:t>South Metropolitan Health Service</w:t>
      </w:r>
      <w:r w:rsidR="002B7282">
        <w:rPr>
          <w:rFonts w:eastAsia="MS Gothic"/>
        </w:rPr>
        <w:t>.</w:t>
      </w:r>
    </w:p>
    <w:p w14:paraId="336014BE" w14:textId="2C1A1EB9" w:rsidR="00ED569F" w:rsidRPr="00ED569F" w:rsidRDefault="005167DA" w:rsidP="000B6A67">
      <w:pPr>
        <w:pStyle w:val="ListParagraph"/>
        <w:numPr>
          <w:ilvl w:val="0"/>
          <w:numId w:val="44"/>
        </w:numPr>
        <w:ind w:left="284" w:hanging="284"/>
        <w:rPr>
          <w:rFonts w:eastAsia="MS Gothic"/>
        </w:rPr>
      </w:pPr>
      <w:r>
        <w:rPr>
          <w:rFonts w:eastAsia="MS Gothic"/>
        </w:rPr>
        <w:t>Child</w:t>
      </w:r>
      <w:r w:rsidR="00ED569F" w:rsidRPr="00ED569F">
        <w:rPr>
          <w:rFonts w:eastAsia="MS Gothic"/>
        </w:rPr>
        <w:t xml:space="preserve"> and Adolescent Health Service</w:t>
      </w:r>
      <w:r w:rsidR="002B7282">
        <w:rPr>
          <w:rFonts w:eastAsia="MS Gothic"/>
        </w:rPr>
        <w:t>.</w:t>
      </w:r>
    </w:p>
    <w:p w14:paraId="0808803D" w14:textId="77777777" w:rsidR="00ED569F" w:rsidRPr="00ED569F" w:rsidRDefault="00ED569F" w:rsidP="000B6A67">
      <w:pPr>
        <w:pStyle w:val="ListParagraph"/>
        <w:numPr>
          <w:ilvl w:val="0"/>
          <w:numId w:val="44"/>
        </w:numPr>
        <w:ind w:left="284" w:hanging="284"/>
        <w:rPr>
          <w:rFonts w:eastAsia="MS Gothic"/>
        </w:rPr>
      </w:pPr>
      <w:r w:rsidRPr="00ED569F">
        <w:rPr>
          <w:rFonts w:eastAsia="MS Gothic"/>
        </w:rPr>
        <w:t>WA Country Health Service including:</w:t>
      </w:r>
    </w:p>
    <w:p w14:paraId="492C5503" w14:textId="415EE64D" w:rsidR="00ED569F" w:rsidRPr="00ED569F" w:rsidRDefault="00ED569F" w:rsidP="000B6A67">
      <w:pPr>
        <w:pStyle w:val="ListParagraph"/>
        <w:numPr>
          <w:ilvl w:val="0"/>
          <w:numId w:val="50"/>
        </w:numPr>
        <w:rPr>
          <w:rFonts w:eastAsia="MS Gothic"/>
        </w:rPr>
      </w:pPr>
      <w:r w:rsidRPr="00ED569F">
        <w:rPr>
          <w:rFonts w:eastAsia="MS Gothic"/>
        </w:rPr>
        <w:t>Bunbury Hospital South West Health Campus</w:t>
      </w:r>
      <w:r w:rsidR="002B7282">
        <w:rPr>
          <w:rFonts w:eastAsia="MS Gothic"/>
        </w:rPr>
        <w:t>;</w:t>
      </w:r>
    </w:p>
    <w:p w14:paraId="44C63E6A" w14:textId="77777777" w:rsidR="00ED569F" w:rsidRPr="00ED569F" w:rsidRDefault="00ED569F" w:rsidP="000B6A67">
      <w:pPr>
        <w:pStyle w:val="ListParagraph"/>
        <w:numPr>
          <w:ilvl w:val="0"/>
          <w:numId w:val="50"/>
        </w:numPr>
        <w:rPr>
          <w:rFonts w:eastAsia="MS Gothic"/>
        </w:rPr>
      </w:pPr>
      <w:r w:rsidRPr="00ED569F">
        <w:rPr>
          <w:rFonts w:eastAsia="MS Gothic"/>
        </w:rPr>
        <w:t>Busselton Health Campus West Busselton; and</w:t>
      </w:r>
    </w:p>
    <w:p w14:paraId="045538AF" w14:textId="013D72A4" w:rsidR="00ED569F" w:rsidRPr="00ED569F" w:rsidRDefault="00ED569F" w:rsidP="000B6A67">
      <w:pPr>
        <w:pStyle w:val="ListParagraph"/>
        <w:numPr>
          <w:ilvl w:val="0"/>
          <w:numId w:val="50"/>
        </w:numPr>
        <w:rPr>
          <w:rFonts w:eastAsia="MS Gothic"/>
        </w:rPr>
      </w:pPr>
      <w:r w:rsidRPr="00ED569F">
        <w:rPr>
          <w:rFonts w:eastAsia="MS Gothic"/>
        </w:rPr>
        <w:t>Collie Hospital.</w:t>
      </w:r>
    </w:p>
    <w:p w14:paraId="546C52B0" w14:textId="77777777" w:rsidR="00ED569F" w:rsidRDefault="00ED569F" w:rsidP="00ED569F">
      <w:pPr>
        <w:rPr>
          <w:rFonts w:eastAsia="MS Gothic"/>
        </w:rPr>
      </w:pPr>
    </w:p>
    <w:p w14:paraId="5AACFDDB" w14:textId="77777777" w:rsidR="00ED569F" w:rsidRPr="00ED569F" w:rsidRDefault="00ED569F" w:rsidP="00ED569F">
      <w:pPr>
        <w:rPr>
          <w:rFonts w:eastAsia="MS Gothic"/>
          <w:b/>
        </w:rPr>
      </w:pPr>
      <w:r w:rsidRPr="00ED569F">
        <w:rPr>
          <w:rFonts w:eastAsia="MS Gothic"/>
          <w:b/>
        </w:rPr>
        <w:t xml:space="preserve">Department of Justice – corrective services </w:t>
      </w:r>
    </w:p>
    <w:p w14:paraId="3993A52F" w14:textId="1EEFE6D7" w:rsidR="00ED569F" w:rsidRPr="00FB5C31" w:rsidRDefault="00ED569F" w:rsidP="00ED569F">
      <w:pPr>
        <w:rPr>
          <w:rFonts w:eastAsia="MS Gothic"/>
        </w:rPr>
      </w:pPr>
      <w:r w:rsidRPr="00FB5C31">
        <w:rPr>
          <w:rFonts w:eastAsia="MS Gothic"/>
        </w:rPr>
        <w:t xml:space="preserve">It is important that HaDSCO’s services are accessible to all those who wish to make </w:t>
      </w:r>
      <w:r w:rsidR="005167DA">
        <w:rPr>
          <w:rFonts w:eastAsia="MS Gothic"/>
        </w:rPr>
        <w:t>a complaint</w:t>
      </w:r>
      <w:r w:rsidRPr="00FB5C31">
        <w:rPr>
          <w:rFonts w:eastAsia="MS Gothic"/>
        </w:rPr>
        <w:t>. This includes people in Western Australian prisons</w:t>
      </w:r>
      <w:r w:rsidR="002B7282">
        <w:rPr>
          <w:rFonts w:eastAsia="MS Gothic"/>
        </w:rPr>
        <w:t>. In 2017-18, 19%</w:t>
      </w:r>
      <w:r>
        <w:rPr>
          <w:rFonts w:eastAsia="MS Gothic"/>
        </w:rPr>
        <w:t xml:space="preserve"> of complaints about health services closed by HaDSCO were about prison health services and </w:t>
      </w:r>
      <w:r w:rsidR="002B7282">
        <w:rPr>
          <w:rFonts w:eastAsia="MS Gothic"/>
        </w:rPr>
        <w:t>7%</w:t>
      </w:r>
      <w:r w:rsidRPr="008C3F22">
        <w:rPr>
          <w:rFonts w:eastAsia="MS Gothic"/>
        </w:rPr>
        <w:t xml:space="preserve"> of complaints </w:t>
      </w:r>
      <w:r w:rsidR="002B7282">
        <w:rPr>
          <w:rFonts w:eastAsia="MS Gothic"/>
        </w:rPr>
        <w:t xml:space="preserve">were </w:t>
      </w:r>
      <w:r w:rsidR="00060A74">
        <w:rPr>
          <w:rFonts w:eastAsia="MS Gothic"/>
        </w:rPr>
        <w:t>a</w:t>
      </w:r>
      <w:r w:rsidR="002B7282">
        <w:rPr>
          <w:rFonts w:eastAsia="MS Gothic"/>
        </w:rPr>
        <w:t>bout prison</w:t>
      </w:r>
      <w:r w:rsidRPr="008C3F22">
        <w:rPr>
          <w:rFonts w:eastAsia="MS Gothic"/>
        </w:rPr>
        <w:t xml:space="preserve"> mental health services.</w:t>
      </w:r>
    </w:p>
    <w:p w14:paraId="7034C1C1" w14:textId="77777777" w:rsidR="00ED569F" w:rsidRPr="00FB5C31" w:rsidRDefault="00ED569F" w:rsidP="00ED569F">
      <w:pPr>
        <w:rPr>
          <w:rFonts w:eastAsia="MS Gothic"/>
        </w:rPr>
      </w:pPr>
    </w:p>
    <w:p w14:paraId="32FA0678" w14:textId="77777777" w:rsidR="00ED569F" w:rsidRPr="00FB5C31" w:rsidRDefault="00ED569F" w:rsidP="00ED569F">
      <w:pPr>
        <w:rPr>
          <w:rFonts w:eastAsia="MS Gothic"/>
        </w:rPr>
      </w:pPr>
      <w:r w:rsidRPr="00FB5C31">
        <w:rPr>
          <w:rFonts w:eastAsia="MS Gothic"/>
        </w:rPr>
        <w:t>During 2017-18, HaDSCO undertook a number of activities to raise awareness of, and provide access to, our services for complaints about prison health services. These included giving presentations to Clinical Nurse Managers, the Nursing Group webinar and to the Department’s Clinical Governance Advisory Committee.</w:t>
      </w:r>
    </w:p>
    <w:p w14:paraId="3CD6FF16" w14:textId="77777777" w:rsidR="00ED569F" w:rsidRPr="00FB5C31" w:rsidRDefault="00ED569F" w:rsidP="00ED569F">
      <w:pPr>
        <w:rPr>
          <w:rFonts w:eastAsia="MS Gothic"/>
        </w:rPr>
      </w:pPr>
    </w:p>
    <w:p w14:paraId="1F04D280" w14:textId="70AE0532" w:rsidR="00ED569F" w:rsidRDefault="00ED569F" w:rsidP="00ED569F">
      <w:pPr>
        <w:rPr>
          <w:rFonts w:eastAsia="MS Gothic"/>
        </w:rPr>
      </w:pPr>
      <w:r w:rsidRPr="00FB5C31">
        <w:rPr>
          <w:rFonts w:eastAsia="MS Gothic"/>
        </w:rPr>
        <w:t>We also contributed to the Justice Health Project which is considering potential options for the transfer of responsibility for the management and commissioning of custodial health services to the Western Australian health system. This included providing comments on potential governance options. We also participated in consumer and peer support consultation sessions held at three metropolitan prisons where we met w</w:t>
      </w:r>
      <w:r w:rsidR="00060A74">
        <w:rPr>
          <w:rFonts w:eastAsia="MS Gothic"/>
        </w:rPr>
        <w:t>ith peer support prisoners and C</w:t>
      </w:r>
      <w:r w:rsidRPr="00FB5C31">
        <w:rPr>
          <w:rFonts w:eastAsia="MS Gothic"/>
        </w:rPr>
        <w:t>lin</w:t>
      </w:r>
      <w:r w:rsidR="00060A74">
        <w:rPr>
          <w:rFonts w:eastAsia="MS Gothic"/>
        </w:rPr>
        <w:t>ical Nurse M</w:t>
      </w:r>
      <w:r w:rsidRPr="00FB5C31">
        <w:rPr>
          <w:rFonts w:eastAsia="MS Gothic"/>
        </w:rPr>
        <w:t>anagers to discuss issues relating to the provision of health services in prisons.</w:t>
      </w:r>
    </w:p>
    <w:p w14:paraId="170C345F" w14:textId="77777777" w:rsidR="00ED569F" w:rsidRDefault="00ED569F" w:rsidP="00ED569F">
      <w:pPr>
        <w:rPr>
          <w:rFonts w:eastAsia="MS Gothic"/>
        </w:rPr>
      </w:pPr>
    </w:p>
    <w:p w14:paraId="4A41D902" w14:textId="77777777" w:rsidR="00ED569F" w:rsidRPr="00ED569F" w:rsidRDefault="00ED569F" w:rsidP="00ED569F">
      <w:pPr>
        <w:rPr>
          <w:rFonts w:eastAsia="MS Gothic"/>
          <w:b/>
        </w:rPr>
      </w:pPr>
      <w:r w:rsidRPr="00ED569F">
        <w:rPr>
          <w:rFonts w:eastAsia="MS Gothic"/>
          <w:b/>
        </w:rPr>
        <w:t xml:space="preserve">Office of the Inspector of Custodial Services </w:t>
      </w:r>
    </w:p>
    <w:p w14:paraId="5B2EF9EA" w14:textId="258029C4" w:rsidR="00ED569F" w:rsidRDefault="00ED569F" w:rsidP="00ED569F">
      <w:pPr>
        <w:rPr>
          <w:rFonts w:eastAsia="MS Gothic"/>
        </w:rPr>
      </w:pPr>
      <w:r>
        <w:rPr>
          <w:rFonts w:eastAsia="MS Gothic"/>
        </w:rPr>
        <w:t xml:space="preserve">In October 2017, HaDSCO staff gave a presentation to the </w:t>
      </w:r>
      <w:r w:rsidRPr="005D7EE4">
        <w:rPr>
          <w:rFonts w:eastAsia="MS Gothic"/>
        </w:rPr>
        <w:t>Office of the Inspector of Custodial Services Independent Visitors' Conference</w:t>
      </w:r>
      <w:r>
        <w:rPr>
          <w:rFonts w:eastAsia="MS Gothic"/>
        </w:rPr>
        <w:t xml:space="preserve"> on the role and functions of HaDSCO and the range and nature of complaints received from people in Western Australian prisons. To coincide with the presentation, HaDSCO launched a new </w:t>
      </w:r>
      <w:r w:rsidR="00060A74">
        <w:rPr>
          <w:rFonts w:eastAsia="MS Gothic"/>
        </w:rPr>
        <w:t>I</w:t>
      </w:r>
      <w:r>
        <w:rPr>
          <w:rFonts w:eastAsia="MS Gothic"/>
        </w:rPr>
        <w:t xml:space="preserve">nformation </w:t>
      </w:r>
      <w:r w:rsidRPr="00B0474D">
        <w:rPr>
          <w:rFonts w:eastAsia="MS Gothic"/>
        </w:rPr>
        <w:t xml:space="preserve">Sheet to provide practical guidance on the range of </w:t>
      </w:r>
      <w:r>
        <w:rPr>
          <w:rFonts w:eastAsia="MS Gothic"/>
        </w:rPr>
        <w:t xml:space="preserve">prison health </w:t>
      </w:r>
      <w:r>
        <w:rPr>
          <w:rFonts w:eastAsia="MS Gothic"/>
        </w:rPr>
        <w:lastRenderedPageBreak/>
        <w:t xml:space="preserve">services </w:t>
      </w:r>
      <w:r w:rsidRPr="00B0474D">
        <w:rPr>
          <w:rFonts w:eastAsia="MS Gothic"/>
        </w:rPr>
        <w:t>we can receive complaints about. The presentation was well received and feedback on the Information Sheet has been positive. The Information Sheet can be viewed on HaDSCO’s website</w:t>
      </w:r>
      <w:r>
        <w:rPr>
          <w:rFonts w:eastAsia="MS Gothic"/>
        </w:rPr>
        <w:t>. HaDSCO staff also distributed the Information Sheet when visiting three metropolitan prisons as part of the Justice Health Project.</w:t>
      </w:r>
    </w:p>
    <w:p w14:paraId="34367E32" w14:textId="77777777" w:rsidR="00ED569F" w:rsidRDefault="00ED569F" w:rsidP="00ED569F">
      <w:pPr>
        <w:rPr>
          <w:rFonts w:eastAsia="MS Gothic"/>
        </w:rPr>
      </w:pPr>
    </w:p>
    <w:p w14:paraId="29940521" w14:textId="77777777" w:rsidR="00ED569F" w:rsidRPr="00ED569F" w:rsidRDefault="00ED569F" w:rsidP="00ED569F">
      <w:pPr>
        <w:rPr>
          <w:rFonts w:eastAsia="MS Gothic"/>
          <w:b/>
        </w:rPr>
      </w:pPr>
      <w:r w:rsidRPr="00ED569F">
        <w:rPr>
          <w:rFonts w:eastAsia="MS Gothic"/>
          <w:b/>
        </w:rPr>
        <w:t>Department of Commerce – Consumer Protection</w:t>
      </w:r>
    </w:p>
    <w:p w14:paraId="2E9588F9" w14:textId="705C97CD" w:rsidR="00ED569F" w:rsidRDefault="00ED569F" w:rsidP="00ED569F">
      <w:pPr>
        <w:rPr>
          <w:rFonts w:eastAsia="MS Gothic"/>
        </w:rPr>
      </w:pPr>
      <w:r>
        <w:rPr>
          <w:rFonts w:eastAsia="MS Gothic"/>
        </w:rPr>
        <w:t>HaDSCO meets each year with the Commissioner for Consumer Protection and staff in the Retail and Services Consumer Protection program area in the Department of Mines</w:t>
      </w:r>
      <w:r w:rsidR="002B7282">
        <w:rPr>
          <w:rFonts w:eastAsia="MS Gothic"/>
        </w:rPr>
        <w:t>,</w:t>
      </w:r>
      <w:r>
        <w:rPr>
          <w:rFonts w:eastAsia="MS Gothic"/>
        </w:rPr>
        <w:t xml:space="preserve"> Industry Regulation</w:t>
      </w:r>
      <w:r w:rsidR="002B7282">
        <w:rPr>
          <w:rFonts w:eastAsia="MS Gothic"/>
        </w:rPr>
        <w:t xml:space="preserve"> and Safety</w:t>
      </w:r>
      <w:r>
        <w:rPr>
          <w:rFonts w:eastAsia="MS Gothic"/>
        </w:rPr>
        <w:t xml:space="preserve">. This provides an opportunity to share and exchange information about areas of overlap between complaints managed under Australian Consumer Law which </w:t>
      </w:r>
      <w:r w:rsidR="00727868">
        <w:rPr>
          <w:rFonts w:eastAsia="MS Gothic"/>
        </w:rPr>
        <w:t>involves</w:t>
      </w:r>
      <w:r>
        <w:rPr>
          <w:rFonts w:eastAsia="MS Gothic"/>
        </w:rPr>
        <w:t xml:space="preserve"> health services and those managed through HaDSCO’s processes. Of particular interest in 2017-18</w:t>
      </w:r>
      <w:r w:rsidR="002B7282">
        <w:rPr>
          <w:rFonts w:eastAsia="MS Gothic"/>
        </w:rPr>
        <w:t>,</w:t>
      </w:r>
      <w:r>
        <w:rPr>
          <w:rFonts w:eastAsia="MS Gothic"/>
        </w:rPr>
        <w:t xml:space="preserve"> discussions </w:t>
      </w:r>
      <w:r w:rsidR="00060A74">
        <w:rPr>
          <w:rFonts w:eastAsia="MS Gothic"/>
        </w:rPr>
        <w:t xml:space="preserve">were held </w:t>
      </w:r>
      <w:r>
        <w:rPr>
          <w:rFonts w:eastAsia="MS Gothic"/>
        </w:rPr>
        <w:t xml:space="preserve">about matters which are likely to be covered by the proposed new National Code of Conduct for health care workers jurisdiction. HaDSCO will continue to brief the Commissioner of Consumer Protection as work progresses to implement the National Code. </w:t>
      </w:r>
    </w:p>
    <w:p w14:paraId="39B484F6" w14:textId="77777777" w:rsidR="00ED569F" w:rsidRDefault="00ED569F" w:rsidP="00ED569F">
      <w:pPr>
        <w:rPr>
          <w:rFonts w:eastAsia="MS Gothic"/>
        </w:rPr>
      </w:pPr>
    </w:p>
    <w:p w14:paraId="5D5D964D" w14:textId="6CDE5AC0" w:rsidR="00ED569F" w:rsidRDefault="00ED569F" w:rsidP="00ED569F">
      <w:pPr>
        <w:rPr>
          <w:rFonts w:eastAsia="MS Gothic"/>
        </w:rPr>
      </w:pPr>
      <w:r>
        <w:rPr>
          <w:rFonts w:eastAsia="MS Gothic"/>
        </w:rPr>
        <w:t xml:space="preserve">During 2017-18, </w:t>
      </w:r>
      <w:r w:rsidR="002B7282">
        <w:rPr>
          <w:rFonts w:eastAsia="MS Gothic"/>
        </w:rPr>
        <w:t xml:space="preserve">Department of Mines, Industry Regulation and Safety </w:t>
      </w:r>
      <w:r>
        <w:rPr>
          <w:rFonts w:eastAsia="MS Gothic"/>
        </w:rPr>
        <w:t xml:space="preserve">staff gave a presentation to HaDSCO </w:t>
      </w:r>
      <w:r w:rsidR="00AB1A6B">
        <w:rPr>
          <w:rFonts w:eastAsia="MS Gothic"/>
        </w:rPr>
        <w:t>on</w:t>
      </w:r>
      <w:r>
        <w:rPr>
          <w:rFonts w:eastAsia="MS Gothic"/>
        </w:rPr>
        <w:t xml:space="preserve"> consumer law complaints to assist in raising awareness of each-others</w:t>
      </w:r>
      <w:r w:rsidR="00AB1A6B">
        <w:rPr>
          <w:rFonts w:eastAsia="MS Gothic"/>
        </w:rPr>
        <w:t>’</w:t>
      </w:r>
      <w:r>
        <w:rPr>
          <w:rFonts w:eastAsia="MS Gothic"/>
        </w:rPr>
        <w:t xml:space="preserve"> roles and responsibilities to ensure people who make complaints do so using the most appropriate and effective pathway. </w:t>
      </w:r>
    </w:p>
    <w:p w14:paraId="6A5BE601" w14:textId="77777777" w:rsidR="00ED569F" w:rsidRPr="00200BB7" w:rsidRDefault="00ED569F" w:rsidP="00ED569F">
      <w:pPr>
        <w:rPr>
          <w:rFonts w:eastAsia="MS Gothic"/>
        </w:rPr>
      </w:pPr>
    </w:p>
    <w:p w14:paraId="6293B2FE" w14:textId="77777777" w:rsidR="00ED569F" w:rsidRPr="00ED569F" w:rsidRDefault="00ED569F" w:rsidP="00ED569F">
      <w:pPr>
        <w:rPr>
          <w:rFonts w:eastAsia="MS Gothic"/>
          <w:b/>
        </w:rPr>
      </w:pPr>
      <w:r w:rsidRPr="00ED569F">
        <w:rPr>
          <w:rFonts w:eastAsia="MS Gothic"/>
          <w:b/>
        </w:rPr>
        <w:t>Health Complaints Advisory Group (HCAG)</w:t>
      </w:r>
    </w:p>
    <w:p w14:paraId="57469310" w14:textId="77777777" w:rsidR="00ED569F" w:rsidRPr="00200BB7" w:rsidRDefault="00ED569F" w:rsidP="00ED569F">
      <w:pPr>
        <w:rPr>
          <w:rFonts w:eastAsia="MS Gothic"/>
        </w:rPr>
      </w:pPr>
      <w:r w:rsidRPr="00200BB7">
        <w:rPr>
          <w:rFonts w:eastAsia="MS Gothic"/>
        </w:rPr>
        <w:t xml:space="preserve">HaDSCO is an ex-officio member of the Health Complaint Advisory Group (HCAG), which is responsible for the promotion of best practice in complaint management by Western Australian Health Services. Representation at the meetings is through the patient liaison services of the major public and private hospitals that make up the Department of Health, BreastScreen WA, St John Ambulance Australia and the Health Consumers’ Council. The function of HCAG is to provide advice and education by sharing and exchanging information in relation to complaints management. During 2017-18, the group covered a range of topics, including:  </w:t>
      </w:r>
    </w:p>
    <w:p w14:paraId="4984B004" w14:textId="77777777" w:rsidR="00ED569F" w:rsidRPr="00ED569F" w:rsidRDefault="00ED569F" w:rsidP="000B6A67">
      <w:pPr>
        <w:pStyle w:val="ListParagraph"/>
        <w:numPr>
          <w:ilvl w:val="0"/>
          <w:numId w:val="45"/>
        </w:numPr>
        <w:ind w:left="284" w:hanging="284"/>
        <w:rPr>
          <w:rFonts w:eastAsia="MS Gothic"/>
        </w:rPr>
      </w:pPr>
      <w:r w:rsidRPr="00ED569F">
        <w:rPr>
          <w:rFonts w:eastAsia="MS Gothic"/>
        </w:rPr>
        <w:t xml:space="preserve">Sharing strategies for collecting and reporting on compliments received across the range of health service provider organisations. HCAG recognises the value in reporting this information and to provide context to the range of consumer feedback received across the public and private health sector. </w:t>
      </w:r>
    </w:p>
    <w:p w14:paraId="0261762E" w14:textId="38E0B3F0" w:rsidR="00ED569F" w:rsidRPr="00ED569F" w:rsidRDefault="00ED569F" w:rsidP="000B6A67">
      <w:pPr>
        <w:pStyle w:val="ListParagraph"/>
        <w:numPr>
          <w:ilvl w:val="0"/>
          <w:numId w:val="45"/>
        </w:numPr>
        <w:ind w:left="284" w:hanging="284"/>
        <w:rPr>
          <w:rFonts w:eastAsia="MS Gothic"/>
        </w:rPr>
      </w:pPr>
      <w:r w:rsidRPr="00ED569F">
        <w:rPr>
          <w:rFonts w:eastAsia="MS Gothic"/>
        </w:rPr>
        <w:t xml:space="preserve">Professional development of the members particularly in the management of </w:t>
      </w:r>
      <w:r w:rsidR="00CD399A">
        <w:rPr>
          <w:rFonts w:eastAsia="MS Gothic"/>
        </w:rPr>
        <w:t>unreasonable</w:t>
      </w:r>
      <w:r w:rsidRPr="00ED569F">
        <w:rPr>
          <w:rFonts w:eastAsia="MS Gothic"/>
        </w:rPr>
        <w:t xml:space="preserve"> behaviours of complainants. </w:t>
      </w:r>
    </w:p>
    <w:p w14:paraId="6FFF6553" w14:textId="77777777" w:rsidR="00ED569F" w:rsidRPr="00ED569F" w:rsidRDefault="00ED569F" w:rsidP="000B6A67">
      <w:pPr>
        <w:pStyle w:val="ListParagraph"/>
        <w:numPr>
          <w:ilvl w:val="0"/>
          <w:numId w:val="45"/>
        </w:numPr>
        <w:ind w:left="284" w:hanging="284"/>
        <w:rPr>
          <w:rFonts w:eastAsia="MS Gothic"/>
        </w:rPr>
      </w:pPr>
      <w:r w:rsidRPr="00ED569F">
        <w:rPr>
          <w:rFonts w:eastAsia="MS Gothic"/>
        </w:rPr>
        <w:t xml:space="preserve">Sharing complaint issues and trends, lessons learned and quality improvement initiatives. </w:t>
      </w:r>
    </w:p>
    <w:p w14:paraId="33DF1E36" w14:textId="77777777" w:rsidR="00ED569F" w:rsidRDefault="00ED569F" w:rsidP="00ED569F">
      <w:pPr>
        <w:rPr>
          <w:rFonts w:eastAsia="MS Gothic"/>
        </w:rPr>
      </w:pPr>
    </w:p>
    <w:p w14:paraId="1196CE2B" w14:textId="77777777" w:rsidR="00ED569F" w:rsidRPr="00ED569F" w:rsidRDefault="00ED569F" w:rsidP="00ED569F">
      <w:pPr>
        <w:rPr>
          <w:rFonts w:eastAsia="MS Gothic"/>
          <w:b/>
        </w:rPr>
      </w:pPr>
      <w:r w:rsidRPr="00ED569F">
        <w:rPr>
          <w:rFonts w:eastAsia="MS Gothic"/>
          <w:b/>
        </w:rPr>
        <w:t>Aged Care Complaints Commission</w:t>
      </w:r>
    </w:p>
    <w:p w14:paraId="61700536" w14:textId="3B349CE2" w:rsidR="00ED569F" w:rsidRDefault="00ED569F" w:rsidP="00ED569F">
      <w:pPr>
        <w:rPr>
          <w:rFonts w:eastAsia="MS Gothic"/>
        </w:rPr>
      </w:pPr>
      <w:r w:rsidRPr="00B01263">
        <w:rPr>
          <w:rFonts w:eastAsia="MS Gothic"/>
        </w:rPr>
        <w:t>There are times where the Office’s jurisdiction overlaps with other complaint handling bodies</w:t>
      </w:r>
      <w:r>
        <w:rPr>
          <w:rFonts w:eastAsia="MS Gothic"/>
        </w:rPr>
        <w:t>. In these cases, i</w:t>
      </w:r>
      <w:r w:rsidRPr="00B01263">
        <w:rPr>
          <w:rFonts w:eastAsia="MS Gothic"/>
        </w:rPr>
        <w:t xml:space="preserve">t is important that each organisation is </w:t>
      </w:r>
      <w:r>
        <w:rPr>
          <w:rFonts w:eastAsia="MS Gothic"/>
        </w:rPr>
        <w:t>aware of each</w:t>
      </w:r>
      <w:r w:rsidRPr="00B01263">
        <w:rPr>
          <w:rFonts w:eastAsia="MS Gothic"/>
        </w:rPr>
        <w:t xml:space="preserve"> other’s roles to ensure complaints are directed to the most appropriate body. An example is health services provided in aged care facilities. HaDSCO’s jurisdiction covers transitional </w:t>
      </w:r>
      <w:r w:rsidR="00F91398">
        <w:rPr>
          <w:rFonts w:eastAsia="MS Gothic"/>
        </w:rPr>
        <w:t>care arrangements</w:t>
      </w:r>
      <w:r w:rsidRPr="00B01263">
        <w:rPr>
          <w:rFonts w:eastAsia="MS Gothic"/>
        </w:rPr>
        <w:t xml:space="preserve"> and </w:t>
      </w:r>
      <w:r>
        <w:rPr>
          <w:rFonts w:eastAsia="MS Gothic"/>
        </w:rPr>
        <w:t xml:space="preserve">the </w:t>
      </w:r>
      <w:r w:rsidRPr="00B01263">
        <w:rPr>
          <w:rFonts w:eastAsia="MS Gothic"/>
        </w:rPr>
        <w:t xml:space="preserve">Aged Care Complaints Commissioner </w:t>
      </w:r>
      <w:r>
        <w:rPr>
          <w:rFonts w:eastAsia="MS Gothic"/>
        </w:rPr>
        <w:t xml:space="preserve">has jurisdiction </w:t>
      </w:r>
      <w:r w:rsidRPr="00B01263">
        <w:rPr>
          <w:rFonts w:eastAsia="MS Gothic"/>
        </w:rPr>
        <w:t xml:space="preserve">for health services in </w:t>
      </w:r>
      <w:r>
        <w:rPr>
          <w:rFonts w:eastAsia="MS Gothic"/>
        </w:rPr>
        <w:t>aged care residential</w:t>
      </w:r>
      <w:r w:rsidRPr="00B01263">
        <w:rPr>
          <w:rFonts w:eastAsia="MS Gothic"/>
        </w:rPr>
        <w:t xml:space="preserve"> facilities.</w:t>
      </w:r>
    </w:p>
    <w:p w14:paraId="2184CE4C" w14:textId="77777777" w:rsidR="00ED569F" w:rsidRPr="00B01263" w:rsidRDefault="00ED569F" w:rsidP="00ED569F">
      <w:pPr>
        <w:rPr>
          <w:rFonts w:eastAsia="MS Gothic"/>
        </w:rPr>
      </w:pPr>
    </w:p>
    <w:p w14:paraId="7EEAFFBD" w14:textId="45AD5451" w:rsidR="00ED569F" w:rsidRPr="00B01263" w:rsidRDefault="00ED569F" w:rsidP="00ED569F">
      <w:pPr>
        <w:rPr>
          <w:rFonts w:eastAsia="MS Gothic"/>
        </w:rPr>
      </w:pPr>
      <w:r w:rsidRPr="00B01263">
        <w:rPr>
          <w:rFonts w:eastAsia="MS Gothic"/>
        </w:rPr>
        <w:t xml:space="preserve">To ensure both our staff are familiar with each other’s jurisdiction, during 2017-18 HaDSCO staff provided a presentation to the Aged Care Complaints Commission’s Western </w:t>
      </w:r>
      <w:r>
        <w:rPr>
          <w:rFonts w:eastAsia="MS Gothic"/>
        </w:rPr>
        <w:t xml:space="preserve">Australian </w:t>
      </w:r>
      <w:r w:rsidRPr="00246179">
        <w:rPr>
          <w:rFonts w:eastAsia="MS Gothic"/>
        </w:rPr>
        <w:t>and South Australian</w:t>
      </w:r>
      <w:r w:rsidRPr="00B01263">
        <w:rPr>
          <w:rFonts w:eastAsia="MS Gothic"/>
        </w:rPr>
        <w:t xml:space="preserve"> staff on the role and functions of </w:t>
      </w:r>
      <w:r w:rsidR="00F0490F">
        <w:rPr>
          <w:rFonts w:eastAsia="MS Gothic"/>
        </w:rPr>
        <w:t>the Office</w:t>
      </w:r>
      <w:r>
        <w:rPr>
          <w:rFonts w:eastAsia="MS Gothic"/>
        </w:rPr>
        <w:t>.</w:t>
      </w:r>
      <w:r w:rsidRPr="00B01263">
        <w:rPr>
          <w:rFonts w:eastAsia="MS Gothic"/>
        </w:rPr>
        <w:t xml:space="preserve"> </w:t>
      </w:r>
      <w:r w:rsidRPr="00B01263">
        <w:rPr>
          <w:rFonts w:eastAsia="MS Gothic"/>
        </w:rPr>
        <w:lastRenderedPageBreak/>
        <w:t>HaDSCO staff</w:t>
      </w:r>
      <w:r>
        <w:rPr>
          <w:rFonts w:eastAsia="MS Gothic"/>
        </w:rPr>
        <w:t xml:space="preserve"> also</w:t>
      </w:r>
      <w:r w:rsidRPr="00B01263">
        <w:rPr>
          <w:rFonts w:eastAsia="MS Gothic"/>
        </w:rPr>
        <w:t xml:space="preserve"> received a presentation from the Aged Care Complaints Commission</w:t>
      </w:r>
      <w:r>
        <w:rPr>
          <w:rFonts w:eastAsia="MS Gothic"/>
        </w:rPr>
        <w:t xml:space="preserve"> on </w:t>
      </w:r>
      <w:r w:rsidR="00AB1A6B">
        <w:rPr>
          <w:rFonts w:eastAsia="MS Gothic"/>
        </w:rPr>
        <w:t>its</w:t>
      </w:r>
      <w:r>
        <w:rPr>
          <w:rFonts w:eastAsia="MS Gothic"/>
        </w:rPr>
        <w:t xml:space="preserve"> jurisdiction and functions</w:t>
      </w:r>
      <w:r w:rsidRPr="00B01263">
        <w:rPr>
          <w:rFonts w:eastAsia="MS Gothic"/>
        </w:rPr>
        <w:t xml:space="preserve">. This helped to strengthen the relationships between our respective </w:t>
      </w:r>
      <w:r>
        <w:rPr>
          <w:rFonts w:eastAsia="MS Gothic"/>
        </w:rPr>
        <w:t>organisations</w:t>
      </w:r>
      <w:r w:rsidRPr="00B01263">
        <w:rPr>
          <w:rFonts w:eastAsia="MS Gothic"/>
        </w:rPr>
        <w:t xml:space="preserve"> given our sometimes overlapping roles.</w:t>
      </w:r>
    </w:p>
    <w:p w14:paraId="1861F677" w14:textId="77777777" w:rsidR="00ED569F" w:rsidRPr="00BB67AF" w:rsidRDefault="00ED569F" w:rsidP="00ED569F">
      <w:pPr>
        <w:rPr>
          <w:rFonts w:eastAsia="MS Gothic"/>
        </w:rPr>
      </w:pPr>
    </w:p>
    <w:p w14:paraId="0138F000" w14:textId="77777777" w:rsidR="00ED569F" w:rsidRPr="00ED569F" w:rsidRDefault="00ED569F" w:rsidP="00ED569F">
      <w:pPr>
        <w:rPr>
          <w:rFonts w:eastAsia="MS Gothic"/>
          <w:b/>
        </w:rPr>
      </w:pPr>
      <w:r w:rsidRPr="00ED569F">
        <w:rPr>
          <w:rFonts w:eastAsia="MS Gothic"/>
          <w:b/>
        </w:rPr>
        <w:t xml:space="preserve">Peak industry and advocacy groups </w:t>
      </w:r>
    </w:p>
    <w:p w14:paraId="005BEF65" w14:textId="67B27BDF" w:rsidR="00ED569F" w:rsidRDefault="00ED569F" w:rsidP="00ED569F">
      <w:pPr>
        <w:rPr>
          <w:rFonts w:eastAsia="MS Gothic"/>
        </w:rPr>
      </w:pPr>
      <w:r w:rsidRPr="00C17D21">
        <w:rPr>
          <w:rFonts w:eastAsia="MS Gothic"/>
        </w:rPr>
        <w:t>HaDSCO continues to meet with key groups to build upon, and strengthen, relationships to promote effective and efficient complaints resolution.</w:t>
      </w:r>
      <w:r>
        <w:rPr>
          <w:rFonts w:eastAsia="MS Gothic"/>
        </w:rPr>
        <w:t xml:space="preserve"> During 2017</w:t>
      </w:r>
      <w:r w:rsidR="003D7D21">
        <w:rPr>
          <w:rFonts w:eastAsia="MS Gothic"/>
        </w:rPr>
        <w:t>−</w:t>
      </w:r>
      <w:r>
        <w:rPr>
          <w:rFonts w:eastAsia="MS Gothic"/>
        </w:rPr>
        <w:t xml:space="preserve">18, HaDSCO continued to engage with the Health Consumers’ Council (HCC) to share and exchange information about key initiatives and areas of focus. HaDSCO staff also received a presentation on the HCC’s ‘Patient Opinion’ initiative and attended events for Patient Experience week. </w:t>
      </w:r>
    </w:p>
    <w:p w14:paraId="61FB9C6E" w14:textId="77777777" w:rsidR="00ED569F" w:rsidRDefault="00ED569F" w:rsidP="00ED569F">
      <w:pPr>
        <w:rPr>
          <w:rFonts w:eastAsia="MS Gothic"/>
        </w:rPr>
      </w:pPr>
    </w:p>
    <w:p w14:paraId="0CAD09C8" w14:textId="7704DB39" w:rsidR="00ED569F" w:rsidRDefault="00ED569F" w:rsidP="00ED569F">
      <w:pPr>
        <w:rPr>
          <w:rFonts w:eastAsia="MS Gothic"/>
        </w:rPr>
      </w:pPr>
      <w:r>
        <w:rPr>
          <w:rFonts w:eastAsia="MS Gothic"/>
        </w:rPr>
        <w:t xml:space="preserve">Where possible, HaDSCO aims to disseminate information to health consumer groups to strengthen awareness of our role. One way to achieve this is through presentations to consumer groups. In the health portfolio, HaDSCO gave a presentation to the </w:t>
      </w:r>
      <w:r w:rsidRPr="00B0474D">
        <w:rPr>
          <w:rFonts w:eastAsia="MS Gothic"/>
        </w:rPr>
        <w:t xml:space="preserve">Consumer and Community Advisory Council </w:t>
      </w:r>
      <w:r>
        <w:rPr>
          <w:rFonts w:eastAsia="MS Gothic"/>
        </w:rPr>
        <w:t xml:space="preserve">of the </w:t>
      </w:r>
      <w:r w:rsidRPr="00B0474D">
        <w:rPr>
          <w:rFonts w:eastAsia="MS Gothic"/>
        </w:rPr>
        <w:t>South Metropolitan Health Service</w:t>
      </w:r>
      <w:r>
        <w:rPr>
          <w:rFonts w:eastAsia="MS Gothic"/>
        </w:rPr>
        <w:t xml:space="preserve"> in </w:t>
      </w:r>
      <w:r w:rsidR="00AB1A6B">
        <w:rPr>
          <w:rFonts w:eastAsia="MS Gothic"/>
        </w:rPr>
        <w:t>July 2017</w:t>
      </w:r>
      <w:r>
        <w:rPr>
          <w:rFonts w:eastAsia="MS Gothic"/>
        </w:rPr>
        <w:t>.</w:t>
      </w:r>
    </w:p>
    <w:p w14:paraId="655CF540" w14:textId="77777777" w:rsidR="00ED569F" w:rsidRDefault="00ED569F" w:rsidP="00ED569F">
      <w:pPr>
        <w:rPr>
          <w:rFonts w:eastAsia="MS Gothic"/>
        </w:rPr>
      </w:pPr>
    </w:p>
    <w:p w14:paraId="3A398FE9" w14:textId="13903F4A" w:rsidR="00ED569F" w:rsidRPr="0005671D" w:rsidRDefault="00ED569F" w:rsidP="00ED569F">
      <w:pPr>
        <w:rPr>
          <w:rFonts w:eastAsia="MS Gothic"/>
        </w:rPr>
      </w:pPr>
      <w:r>
        <w:rPr>
          <w:rFonts w:eastAsia="MS Gothic"/>
        </w:rPr>
        <w:t xml:space="preserve">During 2017-18, HaDSCO staff met with the Australian Medical Association’s </w:t>
      </w:r>
      <w:r w:rsidRPr="0005671D">
        <w:rPr>
          <w:rFonts w:eastAsia="MS Gothic"/>
        </w:rPr>
        <w:t>Director Health &amp; Community Services</w:t>
      </w:r>
      <w:r>
        <w:rPr>
          <w:rFonts w:eastAsia="MS Gothic"/>
        </w:rPr>
        <w:t xml:space="preserve"> to discuss potential opportunities to </w:t>
      </w:r>
      <w:r w:rsidRPr="0005671D">
        <w:rPr>
          <w:rFonts w:eastAsia="MS Gothic"/>
        </w:rPr>
        <w:t xml:space="preserve">contribute to training for medical practice managers on HaDSCO’s role and functions and issues of interest for practice managers which arise in complaints, and for similar potential training for trainee </w:t>
      </w:r>
      <w:r>
        <w:rPr>
          <w:rFonts w:eastAsia="MS Gothic"/>
        </w:rPr>
        <w:t>or</w:t>
      </w:r>
      <w:r w:rsidRPr="0005671D">
        <w:rPr>
          <w:rFonts w:eastAsia="MS Gothic"/>
        </w:rPr>
        <w:t xml:space="preserve"> new doctors.</w:t>
      </w:r>
      <w:r>
        <w:rPr>
          <w:rFonts w:eastAsia="MS Gothic"/>
        </w:rPr>
        <w:t xml:space="preserve"> These opportunities will be further explored in 2018-19.</w:t>
      </w:r>
    </w:p>
    <w:p w14:paraId="4D52BA8E" w14:textId="77777777" w:rsidR="00ED569F" w:rsidRDefault="00ED569F" w:rsidP="00ED569F">
      <w:pPr>
        <w:rPr>
          <w:rFonts w:eastAsia="MS Gothic"/>
        </w:rPr>
      </w:pPr>
    </w:p>
    <w:p w14:paraId="79CBBC6A" w14:textId="77777777" w:rsidR="00ED569F" w:rsidRPr="00ED569F" w:rsidRDefault="00ED569F" w:rsidP="00ED569F">
      <w:pPr>
        <w:rPr>
          <w:rFonts w:eastAsia="MS Gothic"/>
          <w:b/>
        </w:rPr>
      </w:pPr>
      <w:r w:rsidRPr="00ED569F">
        <w:rPr>
          <w:rFonts w:eastAsia="MS Gothic"/>
          <w:b/>
        </w:rPr>
        <w:t xml:space="preserve">National Health Commissioners’ meetings </w:t>
      </w:r>
    </w:p>
    <w:p w14:paraId="18081EC1" w14:textId="4CA57BFB" w:rsidR="00ED569F" w:rsidRPr="008F19B1" w:rsidRDefault="00ED569F" w:rsidP="00ED569F">
      <w:pPr>
        <w:rPr>
          <w:rFonts w:eastAsia="MS Gothic"/>
        </w:rPr>
      </w:pPr>
      <w:r w:rsidRPr="008F19B1">
        <w:rPr>
          <w:rFonts w:eastAsia="MS Gothic"/>
        </w:rPr>
        <w:t xml:space="preserve">HaDSCO attended the National Health Commissioners’ meetings, held twice during the year. The meetings provided opportunities for HaDSCO to share and exchange information on complaints trends and issues. This included best practice matters and discussion on evolving policy and practice </w:t>
      </w:r>
      <w:r w:rsidR="00AB1A6B">
        <w:rPr>
          <w:rFonts w:eastAsia="MS Gothic"/>
        </w:rPr>
        <w:t>issues</w:t>
      </w:r>
      <w:r w:rsidRPr="008F19B1">
        <w:rPr>
          <w:rFonts w:eastAsia="MS Gothic"/>
        </w:rPr>
        <w:t xml:space="preserve"> that impact on service delivery for complaints management. </w:t>
      </w:r>
    </w:p>
    <w:p w14:paraId="0A908957" w14:textId="77777777" w:rsidR="00ED569F" w:rsidRPr="008F19B1" w:rsidRDefault="00ED569F" w:rsidP="00ED569F">
      <w:pPr>
        <w:rPr>
          <w:rFonts w:eastAsia="MS Gothic"/>
        </w:rPr>
      </w:pPr>
    </w:p>
    <w:p w14:paraId="65F17D0F" w14:textId="77777777" w:rsidR="00ED569F" w:rsidRPr="00ED569F" w:rsidRDefault="00ED569F" w:rsidP="00ED569F">
      <w:pPr>
        <w:rPr>
          <w:rFonts w:eastAsia="MS Gothic"/>
          <w:b/>
        </w:rPr>
      </w:pPr>
      <w:r w:rsidRPr="00ED569F">
        <w:rPr>
          <w:rFonts w:eastAsia="MS Gothic"/>
          <w:b/>
        </w:rPr>
        <w:t>National Complaints Managers meeting</w:t>
      </w:r>
    </w:p>
    <w:p w14:paraId="47BA79B0" w14:textId="77624DA1" w:rsidR="00ED569F" w:rsidRPr="00BB67AF" w:rsidRDefault="00ED569F" w:rsidP="00AB1A6B">
      <w:pPr>
        <w:rPr>
          <w:rFonts w:eastAsia="MS Gothic"/>
          <w:highlight w:val="yellow"/>
        </w:rPr>
      </w:pPr>
      <w:r w:rsidRPr="008F19B1">
        <w:rPr>
          <w:rFonts w:eastAsia="MS Gothic"/>
        </w:rPr>
        <w:t>HaDSCO attended the National Complaints Managers meeting held once a year. A key focus of the meeting was sharing and exchanging information on the implementation of th</w:t>
      </w:r>
      <w:r w:rsidR="00AB1A6B">
        <w:rPr>
          <w:rFonts w:eastAsia="MS Gothic"/>
        </w:rPr>
        <w:t>e National Code of Conduct for health c</w:t>
      </w:r>
      <w:r w:rsidRPr="008F19B1">
        <w:rPr>
          <w:rFonts w:eastAsia="MS Gothic"/>
        </w:rPr>
        <w:t xml:space="preserve">are </w:t>
      </w:r>
      <w:r w:rsidR="00AB1A6B">
        <w:rPr>
          <w:rFonts w:eastAsia="MS Gothic"/>
        </w:rPr>
        <w:t>w</w:t>
      </w:r>
      <w:r w:rsidRPr="008F19B1">
        <w:rPr>
          <w:rFonts w:eastAsia="MS Gothic"/>
        </w:rPr>
        <w:t>orkers across the various jurisdictions in Australia</w:t>
      </w:r>
      <w:r>
        <w:rPr>
          <w:rFonts w:eastAsia="MS Gothic"/>
        </w:rPr>
        <w:t>.</w:t>
      </w:r>
      <w:r w:rsidRPr="008F19B1">
        <w:rPr>
          <w:rFonts w:eastAsia="MS Gothic"/>
        </w:rPr>
        <w:t xml:space="preserve"> </w:t>
      </w:r>
      <w:r w:rsidRPr="008F19B1">
        <w:rPr>
          <w:rFonts w:eastAsia="MS Gothic"/>
        </w:rPr>
        <w:cr/>
      </w:r>
    </w:p>
    <w:p w14:paraId="57DB306C" w14:textId="77777777" w:rsidR="00ED569F" w:rsidRDefault="00ED569F" w:rsidP="00ED569F">
      <w:pPr>
        <w:rPr>
          <w:rFonts w:eastAsia="MS Gothic"/>
        </w:rPr>
      </w:pPr>
    </w:p>
    <w:p w14:paraId="0EDD971F" w14:textId="77777777" w:rsidR="00ED569F" w:rsidRPr="00ED569F" w:rsidRDefault="00ED569F" w:rsidP="00ED569F">
      <w:pPr>
        <w:rPr>
          <w:rFonts w:eastAsia="MS Gothic"/>
          <w:b/>
          <w:sz w:val="28"/>
          <w:szCs w:val="28"/>
        </w:rPr>
      </w:pPr>
      <w:r w:rsidRPr="00ED569F">
        <w:rPr>
          <w:rFonts w:eastAsia="MS Gothic"/>
          <w:b/>
          <w:sz w:val="28"/>
          <w:szCs w:val="28"/>
        </w:rPr>
        <w:t>Disability</w:t>
      </w:r>
    </w:p>
    <w:p w14:paraId="65FB4BB6" w14:textId="77777777" w:rsidR="00ED569F" w:rsidRDefault="00ED569F" w:rsidP="00ED569F">
      <w:pPr>
        <w:outlineLvl w:val="2"/>
        <w:rPr>
          <w:rFonts w:eastAsia="MS Gothic" w:cs="Times New Roman"/>
          <w:bCs/>
          <w:iCs/>
        </w:rPr>
      </w:pPr>
    </w:p>
    <w:p w14:paraId="749481F2" w14:textId="77777777" w:rsidR="00ED569F" w:rsidRPr="00ED569F" w:rsidRDefault="00ED569F" w:rsidP="00ED569F">
      <w:pPr>
        <w:rPr>
          <w:rFonts w:eastAsia="MS Gothic"/>
          <w:b/>
        </w:rPr>
      </w:pPr>
      <w:r w:rsidRPr="00ED569F">
        <w:rPr>
          <w:rFonts w:eastAsia="MS Gothic"/>
          <w:b/>
        </w:rPr>
        <w:t>Stakeholder engagement with Government departments and organisations involved in transition to NDIS</w:t>
      </w:r>
    </w:p>
    <w:p w14:paraId="34AC2741" w14:textId="2B3894E0" w:rsidR="00ED569F" w:rsidRDefault="00ED569F" w:rsidP="00ED569F">
      <w:pPr>
        <w:rPr>
          <w:rFonts w:eastAsia="MS Gothic"/>
        </w:rPr>
      </w:pPr>
      <w:r>
        <w:rPr>
          <w:rFonts w:eastAsia="MS Gothic"/>
        </w:rPr>
        <w:t xml:space="preserve">A key focus of stakeholder engagement during 2017-18 in the disability portfolio related to jurisdiction transition issues following the announcement </w:t>
      </w:r>
      <w:r w:rsidRPr="00BD5BA4">
        <w:rPr>
          <w:rFonts w:eastAsia="MS Gothic"/>
        </w:rPr>
        <w:t>by the Government of Western Australia that Western Australia will join the nationally delivered NDIS (National Disability Insurance Scheme).</w:t>
      </w:r>
      <w:r>
        <w:rPr>
          <w:rFonts w:eastAsia="MS Gothic"/>
        </w:rPr>
        <w:t xml:space="preserve"> This included </w:t>
      </w:r>
      <w:r w:rsidRPr="00BD5BA4">
        <w:rPr>
          <w:rFonts w:eastAsia="MS Gothic"/>
        </w:rPr>
        <w:t>discussions with the Department of Communities</w:t>
      </w:r>
      <w:r>
        <w:rPr>
          <w:rFonts w:eastAsia="MS Gothic"/>
        </w:rPr>
        <w:t xml:space="preserve">, </w:t>
      </w:r>
      <w:r w:rsidRPr="00BD5BA4">
        <w:rPr>
          <w:rFonts w:eastAsia="MS Gothic"/>
        </w:rPr>
        <w:t>the National Disability Insurance Agency</w:t>
      </w:r>
      <w:r>
        <w:rPr>
          <w:rFonts w:eastAsia="MS Gothic"/>
        </w:rPr>
        <w:t>, and the Commonwealth</w:t>
      </w:r>
      <w:r w:rsidRPr="008A7654">
        <w:rPr>
          <w:rFonts w:eastAsia="MS Gothic"/>
        </w:rPr>
        <w:t xml:space="preserve"> Ombudsman</w:t>
      </w:r>
      <w:r>
        <w:rPr>
          <w:rFonts w:eastAsia="MS Gothic"/>
        </w:rPr>
        <w:t xml:space="preserve">’s Office. The meetings also provided an opportunity to clarify roles and responsibilities for complaint handling in the lead up </w:t>
      </w:r>
      <w:r>
        <w:rPr>
          <w:rFonts w:eastAsia="MS Gothic"/>
        </w:rPr>
        <w:lastRenderedPageBreak/>
        <w:t>to full roll-out of NDIS in Western Australia in 2020 and ongoing arrangements for quality and safeguarding in the meantime.</w:t>
      </w:r>
    </w:p>
    <w:p w14:paraId="4B6AACF3" w14:textId="77777777" w:rsidR="00ED569F" w:rsidRPr="008A7654" w:rsidRDefault="00ED569F" w:rsidP="00ED569F">
      <w:pPr>
        <w:rPr>
          <w:rFonts w:eastAsia="MS Gothic"/>
        </w:rPr>
      </w:pPr>
    </w:p>
    <w:p w14:paraId="5679C150" w14:textId="114901F1" w:rsidR="00ED569F" w:rsidRDefault="00ED569F" w:rsidP="00ED569F">
      <w:pPr>
        <w:rPr>
          <w:rFonts w:eastAsia="MS Gothic"/>
        </w:rPr>
      </w:pPr>
      <w:r>
        <w:rPr>
          <w:rFonts w:eastAsia="MS Gothic"/>
        </w:rPr>
        <w:t xml:space="preserve">During 2017-18, HaDSCO provided a range of feedback in response to consultation by the Department of Communities on the </w:t>
      </w:r>
      <w:r w:rsidRPr="00BB67AF">
        <w:rPr>
          <w:rFonts w:eastAsia="MS Gothic"/>
          <w:i/>
        </w:rPr>
        <w:t xml:space="preserve">National Disability Insurance Scheme Amendment (Quality and Safeguarding Commission) Bill </w:t>
      </w:r>
      <w:r w:rsidRPr="00AB1A6B">
        <w:rPr>
          <w:rFonts w:eastAsia="MS Gothic"/>
          <w:i/>
        </w:rPr>
        <w:t>2017</w:t>
      </w:r>
      <w:r>
        <w:rPr>
          <w:rFonts w:eastAsia="MS Gothic"/>
        </w:rPr>
        <w:t xml:space="preserve">, </w:t>
      </w:r>
      <w:r w:rsidRPr="00AA5B05">
        <w:rPr>
          <w:rFonts w:eastAsia="MS Gothic"/>
        </w:rPr>
        <w:t>proposed</w:t>
      </w:r>
      <w:r>
        <w:rPr>
          <w:rFonts w:eastAsia="MS Gothic"/>
        </w:rPr>
        <w:t xml:space="preserve"> </w:t>
      </w:r>
      <w:r w:rsidRPr="00BB67AF">
        <w:rPr>
          <w:rFonts w:eastAsia="MS Gothic"/>
          <w:i/>
        </w:rPr>
        <w:t>NDIS (Complaints Management and Resolution) Rules 2018</w:t>
      </w:r>
      <w:r>
        <w:rPr>
          <w:rFonts w:eastAsia="MS Gothic"/>
          <w:i/>
        </w:rPr>
        <w:t xml:space="preserve"> </w:t>
      </w:r>
      <w:r>
        <w:rPr>
          <w:rFonts w:eastAsia="MS Gothic"/>
        </w:rPr>
        <w:t xml:space="preserve">and </w:t>
      </w:r>
      <w:r w:rsidRPr="00AA5B05">
        <w:rPr>
          <w:rFonts w:eastAsia="MS Gothic"/>
        </w:rPr>
        <w:t>complaint handling guidelines, process</w:t>
      </w:r>
      <w:r>
        <w:rPr>
          <w:rFonts w:eastAsia="MS Gothic"/>
        </w:rPr>
        <w:t>es</w:t>
      </w:r>
      <w:r w:rsidRPr="00AA5B05">
        <w:rPr>
          <w:rFonts w:eastAsia="MS Gothic"/>
        </w:rPr>
        <w:t>, and information sharing rules under the proposed legislation</w:t>
      </w:r>
      <w:r>
        <w:rPr>
          <w:rFonts w:eastAsia="MS Gothic"/>
        </w:rPr>
        <w:t>.</w:t>
      </w:r>
    </w:p>
    <w:p w14:paraId="17FA0E81" w14:textId="77777777" w:rsidR="00ED569F" w:rsidRDefault="00ED569F" w:rsidP="00ED569F">
      <w:pPr>
        <w:rPr>
          <w:rFonts w:eastAsia="MS Gothic"/>
        </w:rPr>
      </w:pPr>
    </w:p>
    <w:p w14:paraId="6F0B28AD" w14:textId="77777777" w:rsidR="00ED569F" w:rsidRPr="00ED569F" w:rsidRDefault="00ED569F" w:rsidP="00ED569F">
      <w:pPr>
        <w:rPr>
          <w:rFonts w:eastAsia="MS Gothic"/>
          <w:b/>
        </w:rPr>
      </w:pPr>
      <w:r w:rsidRPr="00ED569F">
        <w:rPr>
          <w:rFonts w:eastAsia="MS Gothic"/>
          <w:b/>
        </w:rPr>
        <w:t>Disability Health Network</w:t>
      </w:r>
    </w:p>
    <w:p w14:paraId="1A246F6F" w14:textId="77777777" w:rsidR="00ED569F" w:rsidRPr="00F0490F" w:rsidRDefault="00ED569F" w:rsidP="00ED569F">
      <w:pPr>
        <w:rPr>
          <w:lang w:val="en-US"/>
        </w:rPr>
      </w:pPr>
      <w:r w:rsidRPr="00F0490F">
        <w:rPr>
          <w:rFonts w:eastAsia="MS Gothic" w:cs="Times New Roman"/>
          <w:bCs/>
          <w:iCs/>
        </w:rPr>
        <w:t xml:space="preserve">We continued to share and exchange de-identified information with the </w:t>
      </w:r>
      <w:r w:rsidRPr="00F0490F">
        <w:rPr>
          <w:lang w:val="en-US"/>
        </w:rPr>
        <w:t>Disability Health Network (DHN) on complaints about individuals with co-occurring health and disability needs, and the complaints management framework in Western Australia.</w:t>
      </w:r>
    </w:p>
    <w:p w14:paraId="02D3AF19" w14:textId="3A28D4DF" w:rsidR="00ED569F" w:rsidRPr="00F0490F" w:rsidRDefault="00ED569F" w:rsidP="00ED569F">
      <w:r w:rsidRPr="00F0490F">
        <w:t xml:space="preserve">Staff in HaDSCO also received a presentation from the </w:t>
      </w:r>
      <w:r w:rsidR="00AB1A6B">
        <w:t>DHN</w:t>
      </w:r>
      <w:r w:rsidRPr="00F0490F">
        <w:t xml:space="preserve"> in March 2018 about the Western Australian Disability Health Framework 2015-2025, to </w:t>
      </w:r>
      <w:r w:rsidR="00060A74">
        <w:t>raise</w:t>
      </w:r>
      <w:r w:rsidRPr="00F0490F">
        <w:t xml:space="preserve"> awareness of issues to consider when dealing with health complaints where an individual has a disability.</w:t>
      </w:r>
    </w:p>
    <w:p w14:paraId="2796B58B" w14:textId="77777777" w:rsidR="00ED569F" w:rsidRPr="00F0490F" w:rsidRDefault="00ED569F" w:rsidP="00ED569F"/>
    <w:p w14:paraId="0DF10749" w14:textId="33D28E33" w:rsidR="00ED569F" w:rsidRPr="00BB67AF" w:rsidRDefault="00AB1A6B" w:rsidP="00ED569F">
      <w:pPr>
        <w:rPr>
          <w:highlight w:val="yellow"/>
        </w:rPr>
      </w:pPr>
      <w:r>
        <w:t>We commenced a three</w:t>
      </w:r>
      <w:r w:rsidR="00ED569F" w:rsidRPr="00F0490F">
        <w:t xml:space="preserve"> month trial data capture project to identify trends in complaints where people with disability present with health conditions to health service providers. The learnings from this project will be explored with the DHN in the coming financial year. </w:t>
      </w:r>
    </w:p>
    <w:p w14:paraId="72B12DA5" w14:textId="77777777" w:rsidR="00ED569F" w:rsidRDefault="00ED569F" w:rsidP="00ED569F"/>
    <w:p w14:paraId="123117A4" w14:textId="77777777" w:rsidR="00ED569F" w:rsidRPr="00ED569F" w:rsidRDefault="00ED569F" w:rsidP="00ED569F">
      <w:pPr>
        <w:rPr>
          <w:rFonts w:eastAsia="MS Gothic"/>
          <w:b/>
        </w:rPr>
      </w:pPr>
      <w:r w:rsidRPr="00ED569F">
        <w:rPr>
          <w:rFonts w:eastAsia="MS Gothic"/>
          <w:b/>
        </w:rPr>
        <w:t xml:space="preserve">National Commissioners’ meetings </w:t>
      </w:r>
    </w:p>
    <w:p w14:paraId="0064BC6F" w14:textId="2F9BE567" w:rsidR="00ED569F" w:rsidRPr="008F19B1" w:rsidRDefault="00ED569F" w:rsidP="00ED569F">
      <w:pPr>
        <w:rPr>
          <w:rFonts w:eastAsia="MS Gothic"/>
        </w:rPr>
      </w:pPr>
      <w:r w:rsidRPr="008F19B1">
        <w:rPr>
          <w:rFonts w:eastAsia="MS Gothic"/>
        </w:rPr>
        <w:t xml:space="preserve">HaDSCO attended the National Disability Commissioners’ meetings, held twice during the year. The meetings provided opportunities for HaDSCO to share and exchange information on complaints trends and issues. This included best practice matters and discussion on evolving policy and practice matters that impact on service delivery for complaints management. </w:t>
      </w:r>
      <w:r>
        <w:rPr>
          <w:rFonts w:eastAsia="MS Gothic"/>
        </w:rPr>
        <w:t xml:space="preserve">The key focus of meetings in 2017-18 was jurisdiction issues associated with the roll-out of the NDIS and the establishment of the </w:t>
      </w:r>
      <w:r w:rsidR="00AB1A6B">
        <w:rPr>
          <w:rFonts w:eastAsia="MS Gothic"/>
        </w:rPr>
        <w:t xml:space="preserve">NDIS </w:t>
      </w:r>
      <w:r>
        <w:rPr>
          <w:rFonts w:eastAsia="MS Gothic"/>
        </w:rPr>
        <w:t xml:space="preserve">Quality </w:t>
      </w:r>
      <w:r w:rsidR="00AB1A6B">
        <w:rPr>
          <w:rFonts w:eastAsia="MS Gothic"/>
        </w:rPr>
        <w:t xml:space="preserve">and </w:t>
      </w:r>
      <w:r>
        <w:rPr>
          <w:rFonts w:eastAsia="MS Gothic"/>
        </w:rPr>
        <w:t>Safeguards Commission which includes a Complaints Commissioner.</w:t>
      </w:r>
    </w:p>
    <w:p w14:paraId="339D973C" w14:textId="77777777" w:rsidR="00ED569F" w:rsidRDefault="00ED569F" w:rsidP="00ED569F">
      <w:pPr>
        <w:rPr>
          <w:rFonts w:eastAsia="MS Gothic"/>
        </w:rPr>
      </w:pPr>
    </w:p>
    <w:p w14:paraId="3937ABA2" w14:textId="0DD22465" w:rsidR="00ED569F" w:rsidRPr="00BB67AF" w:rsidRDefault="00ED569F" w:rsidP="00ED569F">
      <w:pPr>
        <w:rPr>
          <w:rFonts w:eastAsia="MS Gothic"/>
          <w:highlight w:val="yellow"/>
        </w:rPr>
      </w:pPr>
      <w:r w:rsidRPr="00F0490F">
        <w:rPr>
          <w:rFonts w:eastAsia="MS Gothic"/>
          <w:b/>
        </w:rPr>
        <w:t>Car</w:t>
      </w:r>
      <w:r w:rsidR="00F0490F" w:rsidRPr="00F0490F">
        <w:rPr>
          <w:rFonts w:eastAsia="MS Gothic"/>
          <w:b/>
        </w:rPr>
        <w:t xml:space="preserve">ers WA's </w:t>
      </w:r>
    </w:p>
    <w:p w14:paraId="27C0472F" w14:textId="3E287DC4" w:rsidR="00ED569F" w:rsidRPr="00CB7757" w:rsidRDefault="00CB7757" w:rsidP="00ED569F">
      <w:pPr>
        <w:rPr>
          <w:rFonts w:eastAsia="MS Gothic"/>
        </w:rPr>
      </w:pPr>
      <w:r w:rsidRPr="00CB7757">
        <w:rPr>
          <w:rFonts w:eastAsia="MS Gothic"/>
        </w:rPr>
        <w:t xml:space="preserve">A representative of the Office attended the </w:t>
      </w:r>
      <w:r>
        <w:rPr>
          <w:rFonts w:eastAsia="MS Gothic"/>
        </w:rPr>
        <w:t xml:space="preserve">Carers WA’s </w:t>
      </w:r>
      <w:r w:rsidRPr="00CB7757">
        <w:rPr>
          <w:rFonts w:eastAsia="MS Gothic"/>
        </w:rPr>
        <w:t>Annual General Meeting</w:t>
      </w:r>
      <w:r>
        <w:rPr>
          <w:rFonts w:eastAsia="MS Gothic"/>
        </w:rPr>
        <w:t>, and in line</w:t>
      </w:r>
      <w:r w:rsidRPr="00CB7757">
        <w:rPr>
          <w:rFonts w:eastAsia="MS Gothic"/>
        </w:rPr>
        <w:t xml:space="preserve"> with the annual Carers Week events for 2017, staff from the Office attended the information display in the C</w:t>
      </w:r>
      <w:r>
        <w:rPr>
          <w:rFonts w:eastAsia="MS Gothic"/>
        </w:rPr>
        <w:t xml:space="preserve">entral </w:t>
      </w:r>
      <w:r w:rsidRPr="00CB7757">
        <w:rPr>
          <w:rFonts w:eastAsia="MS Gothic"/>
        </w:rPr>
        <w:t>B</w:t>
      </w:r>
      <w:r>
        <w:rPr>
          <w:rFonts w:eastAsia="MS Gothic"/>
        </w:rPr>
        <w:t xml:space="preserve">usiness </w:t>
      </w:r>
      <w:r w:rsidRPr="00CB7757">
        <w:rPr>
          <w:rFonts w:eastAsia="MS Gothic"/>
        </w:rPr>
        <w:t>D</w:t>
      </w:r>
      <w:r>
        <w:rPr>
          <w:rFonts w:eastAsia="MS Gothic"/>
        </w:rPr>
        <w:t>istrict</w:t>
      </w:r>
      <w:r w:rsidRPr="00CB7757">
        <w:rPr>
          <w:rFonts w:eastAsia="MS Gothic"/>
        </w:rPr>
        <w:t>.</w:t>
      </w:r>
    </w:p>
    <w:p w14:paraId="085C98EB" w14:textId="03C14530" w:rsidR="00ED569F" w:rsidRPr="00BB67AF" w:rsidRDefault="00ED569F" w:rsidP="00ED569F">
      <w:pPr>
        <w:rPr>
          <w:rFonts w:eastAsia="MS Gothic"/>
          <w:highlight w:val="yellow"/>
        </w:rPr>
      </w:pPr>
    </w:p>
    <w:p w14:paraId="63631655" w14:textId="77777777" w:rsidR="00ED569F" w:rsidRPr="00ED569F" w:rsidRDefault="00ED569F" w:rsidP="00ED569F">
      <w:pPr>
        <w:rPr>
          <w:rFonts w:eastAsia="MS Gothic"/>
          <w:b/>
        </w:rPr>
      </w:pPr>
      <w:r w:rsidRPr="00ED569F">
        <w:rPr>
          <w:rFonts w:eastAsia="MS Gothic"/>
          <w:b/>
        </w:rPr>
        <w:t>Australian Human Rights Commission</w:t>
      </w:r>
    </w:p>
    <w:p w14:paraId="6B5CA619" w14:textId="343D7AF3" w:rsidR="00ED569F" w:rsidRDefault="00ED569F" w:rsidP="00ED569F">
      <w:pPr>
        <w:rPr>
          <w:rFonts w:eastAsia="MS Gothic"/>
        </w:rPr>
      </w:pPr>
      <w:r>
        <w:rPr>
          <w:rFonts w:eastAsia="MS Gothic"/>
        </w:rPr>
        <w:t xml:space="preserve">From February to April 2018, HaDSCO staff participated in round-table consultation led by the Australian Human Rights Commission as part of its project on violence against people with disability in </w:t>
      </w:r>
      <w:r w:rsidR="00CB7757">
        <w:rPr>
          <w:rFonts w:eastAsia="MS Gothic"/>
        </w:rPr>
        <w:t>institutional</w:t>
      </w:r>
      <w:r>
        <w:rPr>
          <w:rFonts w:eastAsia="MS Gothic"/>
        </w:rPr>
        <w:t xml:space="preserve"> settings. HaDSCO contributed to this project by providing details of its role and functions with regard to complaints management in the interest of ensuring quality safeguards are in place for people with disability in institutional settings.</w:t>
      </w:r>
    </w:p>
    <w:p w14:paraId="2F67BA47" w14:textId="77777777" w:rsidR="00FE7C56" w:rsidRDefault="00FE7C56">
      <w:pPr>
        <w:spacing w:after="200" w:line="276" w:lineRule="auto"/>
        <w:rPr>
          <w:rFonts w:eastAsia="MS Gothic"/>
          <w:b/>
          <w:sz w:val="28"/>
          <w:szCs w:val="28"/>
        </w:rPr>
      </w:pPr>
      <w:r>
        <w:rPr>
          <w:rFonts w:eastAsia="MS Gothic"/>
          <w:b/>
          <w:sz w:val="28"/>
          <w:szCs w:val="28"/>
        </w:rPr>
        <w:br w:type="page"/>
      </w:r>
    </w:p>
    <w:p w14:paraId="78691FF9" w14:textId="326D8A84" w:rsidR="00ED569F" w:rsidRPr="00ED569F" w:rsidRDefault="00ED569F" w:rsidP="00ED569F">
      <w:pPr>
        <w:rPr>
          <w:rFonts w:eastAsia="MS Gothic"/>
          <w:b/>
          <w:sz w:val="28"/>
          <w:szCs w:val="28"/>
        </w:rPr>
      </w:pPr>
      <w:r w:rsidRPr="00ED569F">
        <w:rPr>
          <w:rFonts w:eastAsia="MS Gothic"/>
          <w:b/>
          <w:sz w:val="28"/>
          <w:szCs w:val="28"/>
        </w:rPr>
        <w:lastRenderedPageBreak/>
        <w:t>Mental health</w:t>
      </w:r>
    </w:p>
    <w:p w14:paraId="73FC923C" w14:textId="77777777" w:rsidR="00ED569F" w:rsidRDefault="00ED569F" w:rsidP="00ED569F">
      <w:pPr>
        <w:outlineLvl w:val="2"/>
        <w:rPr>
          <w:rFonts w:eastAsia="MS Gothic" w:cs="Times New Roman"/>
          <w:bCs/>
          <w:iCs/>
        </w:rPr>
      </w:pPr>
    </w:p>
    <w:p w14:paraId="3B82EE86" w14:textId="77777777" w:rsidR="00ED569F" w:rsidRPr="00ED569F" w:rsidRDefault="00ED569F" w:rsidP="00ED569F">
      <w:pPr>
        <w:rPr>
          <w:rFonts w:eastAsia="MS Gothic"/>
          <w:b/>
        </w:rPr>
      </w:pPr>
      <w:r w:rsidRPr="00ED569F">
        <w:rPr>
          <w:rFonts w:eastAsia="MS Gothic"/>
          <w:b/>
        </w:rPr>
        <w:t>Consultation on the development of draft guidelines for handling complaints about mental health services</w:t>
      </w:r>
    </w:p>
    <w:p w14:paraId="290565B8" w14:textId="77777777" w:rsidR="00ED569F" w:rsidRDefault="00ED569F" w:rsidP="00ED569F">
      <w:pPr>
        <w:rPr>
          <w:rFonts w:eastAsia="MS Gothic"/>
        </w:rPr>
      </w:pPr>
      <w:r>
        <w:rPr>
          <w:rFonts w:eastAsia="MS Gothic"/>
        </w:rPr>
        <w:t xml:space="preserve">A key focus of stakeholder engagement during 2017-18 was liaising and consulting with the mental health sector on the development of </w:t>
      </w:r>
      <w:r w:rsidRPr="00DD3F45">
        <w:rPr>
          <w:rFonts w:eastAsia="MS Gothic"/>
        </w:rPr>
        <w:t>draft guidelines for handling complaints about mental health services (the Guidelines).</w:t>
      </w:r>
    </w:p>
    <w:p w14:paraId="4F1C11EB" w14:textId="77777777" w:rsidR="00ED569F" w:rsidRDefault="00ED569F" w:rsidP="00ED569F">
      <w:pPr>
        <w:rPr>
          <w:rFonts w:eastAsia="MS Gothic"/>
        </w:rPr>
      </w:pPr>
    </w:p>
    <w:p w14:paraId="02E8488E" w14:textId="35217FB7" w:rsidR="00ED569F" w:rsidRPr="00DD3F45" w:rsidRDefault="00ED569F" w:rsidP="00ED569F">
      <w:pPr>
        <w:rPr>
          <w:rFonts w:eastAsia="MS Gothic"/>
        </w:rPr>
      </w:pPr>
      <w:r>
        <w:rPr>
          <w:rFonts w:eastAsia="MS Gothic"/>
        </w:rPr>
        <w:t>Development of the Guidelines</w:t>
      </w:r>
      <w:r w:rsidRPr="00DD3F45">
        <w:rPr>
          <w:rFonts w:eastAsia="MS Gothic"/>
        </w:rPr>
        <w:t xml:space="preserve"> formed part of the Office’s commitment to complete work </w:t>
      </w:r>
      <w:r>
        <w:rPr>
          <w:rFonts w:eastAsia="MS Gothic"/>
        </w:rPr>
        <w:t xml:space="preserve">contained </w:t>
      </w:r>
      <w:r w:rsidRPr="00DD3F45">
        <w:rPr>
          <w:rFonts w:eastAsia="MS Gothic"/>
        </w:rPr>
        <w:t xml:space="preserve">in the Action Plan in the Addendum to the Mental Health Complaints Partnership Agreement (the Agreement). The Agreement was established in preparation for the enactment of the </w:t>
      </w:r>
      <w:r w:rsidRPr="00BB67AF">
        <w:rPr>
          <w:rFonts w:eastAsia="MS Gothic"/>
          <w:i/>
        </w:rPr>
        <w:t>Mental Health Act 2014</w:t>
      </w:r>
      <w:r w:rsidRPr="00DD3F45">
        <w:rPr>
          <w:rFonts w:eastAsia="MS Gothic"/>
        </w:rPr>
        <w:t xml:space="preserve"> </w:t>
      </w:r>
      <w:r>
        <w:rPr>
          <w:rFonts w:eastAsia="MS Gothic"/>
        </w:rPr>
        <w:t>in</w:t>
      </w:r>
      <w:r w:rsidRPr="00DD3F45">
        <w:rPr>
          <w:rFonts w:eastAsia="MS Gothic"/>
        </w:rPr>
        <w:t xml:space="preserve"> 2015. The parties to the Agreement are HaDSCO, the Department of Health, the Mental Health Advocacy Service, the Office of the Chief Psychiatrist and the Mental Health Commission.</w:t>
      </w:r>
    </w:p>
    <w:p w14:paraId="24341D72" w14:textId="77777777" w:rsidR="00ED569F" w:rsidRDefault="00ED569F" w:rsidP="00ED569F">
      <w:pPr>
        <w:rPr>
          <w:rFonts w:eastAsia="MS Gothic"/>
        </w:rPr>
      </w:pPr>
    </w:p>
    <w:p w14:paraId="7E5A582F" w14:textId="007D621F" w:rsidR="00ED569F" w:rsidRPr="00DD3F45" w:rsidRDefault="00ED569F" w:rsidP="00ED569F">
      <w:pPr>
        <w:rPr>
          <w:rFonts w:eastAsia="MS Gothic"/>
        </w:rPr>
      </w:pPr>
      <w:r>
        <w:rPr>
          <w:rFonts w:eastAsia="MS Gothic"/>
        </w:rPr>
        <w:t xml:space="preserve">This </w:t>
      </w:r>
      <w:r w:rsidRPr="00DD3F45">
        <w:rPr>
          <w:rFonts w:eastAsia="MS Gothic"/>
        </w:rPr>
        <w:t xml:space="preserve">work also is part of the functions of the Director under the </w:t>
      </w:r>
      <w:r w:rsidR="00CB7757" w:rsidRPr="00BB67AF">
        <w:rPr>
          <w:rFonts w:eastAsia="MS Gothic"/>
          <w:i/>
        </w:rPr>
        <w:t>Mental Health Act 2014</w:t>
      </w:r>
      <w:r w:rsidR="00CB7757" w:rsidRPr="00DD3F45">
        <w:rPr>
          <w:rFonts w:eastAsia="MS Gothic"/>
        </w:rPr>
        <w:t xml:space="preserve"> </w:t>
      </w:r>
      <w:r w:rsidRPr="00DD3F45">
        <w:rPr>
          <w:rFonts w:eastAsia="MS Gothic"/>
        </w:rPr>
        <w:t xml:space="preserve">to assist providers in developing and improving complaints procedures and the training of staff in handling complaints and aligns with service delivery in education and training for the prevention and resolution of complaints. In addition, this work is consistent with HaDSCO’s strategic priority of responding to changing environments by adapting service delivery to be flexible and responsive to </w:t>
      </w:r>
      <w:r>
        <w:rPr>
          <w:rFonts w:eastAsia="MS Gothic"/>
        </w:rPr>
        <w:t xml:space="preserve">the needs of our stakeholders. </w:t>
      </w:r>
      <w:r w:rsidRPr="00DD3F45">
        <w:rPr>
          <w:rFonts w:eastAsia="MS Gothic"/>
        </w:rPr>
        <w:t xml:space="preserve">In this case, we seek to assist our stakeholders to ensure they have a complaints procedure in place in accordance with the </w:t>
      </w:r>
      <w:r w:rsidR="00CB7757" w:rsidRPr="00BB67AF">
        <w:rPr>
          <w:rFonts w:eastAsia="MS Gothic"/>
          <w:i/>
        </w:rPr>
        <w:t>Mental Health Act 2014</w:t>
      </w:r>
      <w:r w:rsidRPr="00DD3F45">
        <w:rPr>
          <w:rFonts w:eastAsia="MS Gothic"/>
        </w:rPr>
        <w:t>.</w:t>
      </w:r>
    </w:p>
    <w:p w14:paraId="6AF5F5A3" w14:textId="77777777" w:rsidR="00ED569F" w:rsidRPr="00DD3F45" w:rsidRDefault="00ED569F" w:rsidP="00ED569F">
      <w:pPr>
        <w:rPr>
          <w:rFonts w:eastAsia="MS Gothic"/>
        </w:rPr>
      </w:pPr>
    </w:p>
    <w:p w14:paraId="78DD6413" w14:textId="77777777" w:rsidR="00ED569F" w:rsidRDefault="00ED569F" w:rsidP="00ED569F">
      <w:pPr>
        <w:rPr>
          <w:rFonts w:eastAsia="MS Gothic"/>
        </w:rPr>
      </w:pPr>
      <w:r w:rsidRPr="00DD3F45">
        <w:rPr>
          <w:rFonts w:eastAsia="MS Gothic"/>
        </w:rPr>
        <w:t>The material contained in the Guidelines, which encompasses resources and templates, aims to provide a general reference to assist service providers develop their own complaint handling systems which are effective and resolution-focused, or to enhance existing processes.</w:t>
      </w:r>
    </w:p>
    <w:p w14:paraId="60552277" w14:textId="77777777" w:rsidR="00ED569F" w:rsidRDefault="00ED569F" w:rsidP="00ED569F">
      <w:pPr>
        <w:rPr>
          <w:rFonts w:eastAsia="MS Gothic"/>
        </w:rPr>
      </w:pPr>
    </w:p>
    <w:p w14:paraId="3D1808EC" w14:textId="77777777" w:rsidR="00ED569F" w:rsidRDefault="00ED569F" w:rsidP="00ED569F">
      <w:pPr>
        <w:rPr>
          <w:rFonts w:eastAsia="MS Gothic"/>
        </w:rPr>
      </w:pPr>
      <w:r w:rsidRPr="00DD3F45">
        <w:rPr>
          <w:rFonts w:eastAsia="MS Gothic"/>
        </w:rPr>
        <w:t xml:space="preserve">HaDSCO consulted with the partner agencies to the Agreement, stakeholders in the mental health sector, and health complaints bodies in the eastern states of Australia. </w:t>
      </w:r>
    </w:p>
    <w:p w14:paraId="5E1B0978" w14:textId="77777777" w:rsidR="00ED569F" w:rsidRDefault="00ED569F" w:rsidP="00ED569F">
      <w:pPr>
        <w:rPr>
          <w:rFonts w:eastAsia="MS Gothic"/>
        </w:rPr>
      </w:pPr>
      <w:r w:rsidRPr="00DD3F45">
        <w:rPr>
          <w:rFonts w:eastAsia="MS Gothic"/>
        </w:rPr>
        <w:t>Feedback on the draft Guidelines has been positive and HaDSCO will release the finalised Guidelines in 2018-19 after co</w:t>
      </w:r>
      <w:r>
        <w:rPr>
          <w:rFonts w:eastAsia="MS Gothic"/>
        </w:rPr>
        <w:t>nsidering stakeholder feedback.</w:t>
      </w:r>
    </w:p>
    <w:p w14:paraId="4E47223A" w14:textId="77777777" w:rsidR="00ED569F" w:rsidRDefault="00ED569F" w:rsidP="00ED569F">
      <w:pPr>
        <w:rPr>
          <w:rFonts w:eastAsia="MS Gothic"/>
        </w:rPr>
      </w:pPr>
    </w:p>
    <w:p w14:paraId="19F8D88C" w14:textId="77777777" w:rsidR="00ED569F" w:rsidRPr="00ED569F" w:rsidRDefault="00ED569F" w:rsidP="00ED569F">
      <w:pPr>
        <w:rPr>
          <w:rFonts w:eastAsia="MS Gothic" w:cs="Times New Roman"/>
          <w:b/>
          <w:bCs/>
          <w:iCs/>
        </w:rPr>
      </w:pPr>
      <w:r w:rsidRPr="00ED569F">
        <w:rPr>
          <w:b/>
          <w:lang w:val="en-US"/>
        </w:rPr>
        <w:t>Western Australian Mental Health Conference and Awards</w:t>
      </w:r>
    </w:p>
    <w:p w14:paraId="7A9845A7" w14:textId="79FC0D14" w:rsidR="00ED569F" w:rsidRDefault="00ED569F" w:rsidP="00ED569F">
      <w:pPr>
        <w:rPr>
          <w:lang w:val="en-US"/>
        </w:rPr>
      </w:pPr>
      <w:r w:rsidRPr="00A6373D">
        <w:rPr>
          <w:lang w:val="en-US"/>
        </w:rPr>
        <w:t xml:space="preserve">In </w:t>
      </w:r>
      <w:r>
        <w:rPr>
          <w:lang w:val="en-US"/>
        </w:rPr>
        <w:t xml:space="preserve">July 2017, HaDSCO gave a presentation at the </w:t>
      </w:r>
      <w:r w:rsidRPr="006015CF">
        <w:rPr>
          <w:lang w:val="en-US"/>
        </w:rPr>
        <w:t xml:space="preserve">Western Australian Mental Health Conference </w:t>
      </w:r>
      <w:r>
        <w:rPr>
          <w:lang w:val="en-US"/>
        </w:rPr>
        <w:t>and</w:t>
      </w:r>
      <w:r w:rsidRPr="006015CF">
        <w:rPr>
          <w:lang w:val="en-US"/>
        </w:rPr>
        <w:t xml:space="preserve"> Awards</w:t>
      </w:r>
      <w:r>
        <w:rPr>
          <w:lang w:val="en-US"/>
        </w:rPr>
        <w:t xml:space="preserve"> on dealing with complaints about mental health services</w:t>
      </w:r>
      <w:r w:rsidRPr="00A6373D">
        <w:rPr>
          <w:lang w:val="en-US"/>
        </w:rPr>
        <w:t xml:space="preserve">. </w:t>
      </w:r>
      <w:r>
        <w:rPr>
          <w:lang w:val="en-US"/>
        </w:rPr>
        <w:t>To coincide with this, HaDSCO released a new Information Sheet to provide practical guidance on the range of matters we can receive complaints about. The presentation was well received and feedback on the Information Sheet has been positive. The Information Sheet ca</w:t>
      </w:r>
      <w:r w:rsidR="00CB7757">
        <w:rPr>
          <w:lang w:val="en-US"/>
        </w:rPr>
        <w:t>n be viewed on HaDSCO’s website.</w:t>
      </w:r>
    </w:p>
    <w:p w14:paraId="3EB50CDB" w14:textId="77777777" w:rsidR="00ED569F" w:rsidRPr="00A6373D" w:rsidRDefault="00ED569F" w:rsidP="00ED569F">
      <w:pPr>
        <w:rPr>
          <w:lang w:val="en-US"/>
        </w:rPr>
      </w:pPr>
    </w:p>
    <w:p w14:paraId="42BB0AB2" w14:textId="77777777" w:rsidR="00ED569F" w:rsidRPr="00ED569F" w:rsidRDefault="00ED569F" w:rsidP="00ED569F">
      <w:pPr>
        <w:rPr>
          <w:rFonts w:eastAsia="MS Gothic"/>
          <w:b/>
        </w:rPr>
      </w:pPr>
      <w:r w:rsidRPr="00ED569F">
        <w:rPr>
          <w:rFonts w:eastAsia="MS Gothic"/>
          <w:b/>
        </w:rPr>
        <w:t>Office of the Chief Psychiatrist</w:t>
      </w:r>
    </w:p>
    <w:p w14:paraId="1C96200A" w14:textId="558EAA61" w:rsidR="00ED569F" w:rsidRDefault="00ED569F" w:rsidP="00ED569F">
      <w:pPr>
        <w:rPr>
          <w:rFonts w:eastAsia="MS Gothic" w:cs="Times New Roman"/>
          <w:b/>
          <w:bCs/>
          <w:iCs/>
        </w:rPr>
      </w:pPr>
      <w:r>
        <w:rPr>
          <w:rFonts w:eastAsia="MS Gothic" w:cs="Times New Roman"/>
          <w:bCs/>
          <w:iCs/>
        </w:rPr>
        <w:t xml:space="preserve">During 2017-18, HaDSCO staff met or liaised with staff from the Office of </w:t>
      </w:r>
      <w:r w:rsidRPr="00A6373D">
        <w:rPr>
          <w:lang w:val="en-US"/>
        </w:rPr>
        <w:t>the Chief Psychiatrist</w:t>
      </w:r>
      <w:r>
        <w:rPr>
          <w:lang w:val="en-US"/>
        </w:rPr>
        <w:t xml:space="preserve"> to report on complaint trends and emerging systemic issues. These opportunities are central to strengthening the awareness of staff of both agencies of issues emerging </w:t>
      </w:r>
      <w:r w:rsidR="00CB7757">
        <w:rPr>
          <w:lang w:val="en-US"/>
        </w:rPr>
        <w:t xml:space="preserve">in </w:t>
      </w:r>
      <w:r>
        <w:rPr>
          <w:lang w:val="en-US"/>
        </w:rPr>
        <w:t>the mental health sector.</w:t>
      </w:r>
    </w:p>
    <w:p w14:paraId="4657DD26" w14:textId="5D2B3DA7" w:rsidR="00CB7757" w:rsidRDefault="00CB7757">
      <w:pPr>
        <w:spacing w:after="200" w:line="276" w:lineRule="auto"/>
        <w:rPr>
          <w:rFonts w:eastAsia="MS Gothic" w:cs="Times New Roman"/>
          <w:b/>
          <w:bCs/>
          <w:iCs/>
        </w:rPr>
      </w:pPr>
      <w:r>
        <w:rPr>
          <w:rFonts w:eastAsia="MS Gothic" w:cs="Times New Roman"/>
          <w:b/>
          <w:bCs/>
          <w:iCs/>
        </w:rPr>
        <w:br w:type="page"/>
      </w:r>
    </w:p>
    <w:p w14:paraId="33CBD984" w14:textId="77777777" w:rsidR="00ED569F" w:rsidRPr="00ED569F" w:rsidRDefault="00ED569F" w:rsidP="00ED569F">
      <w:pPr>
        <w:rPr>
          <w:rFonts w:eastAsia="MS Gothic"/>
          <w:b/>
        </w:rPr>
      </w:pPr>
      <w:r w:rsidRPr="00ED569F">
        <w:rPr>
          <w:rFonts w:eastAsia="MS Gothic"/>
          <w:b/>
        </w:rPr>
        <w:lastRenderedPageBreak/>
        <w:t xml:space="preserve">National Mental Health Commission </w:t>
      </w:r>
    </w:p>
    <w:p w14:paraId="2E646735" w14:textId="2F3819B7" w:rsidR="00ED569F" w:rsidRDefault="00ED569F" w:rsidP="00ED569F">
      <w:pPr>
        <w:rPr>
          <w:rFonts w:eastAsia="MS Gothic"/>
        </w:rPr>
      </w:pPr>
      <w:r>
        <w:rPr>
          <w:rFonts w:eastAsia="MS Gothic"/>
        </w:rPr>
        <w:t>HaDSCO was pleased to have the opportunity to meet with staff from the National Mental Health Commission during their visit to Perth in February 2018. This provided an excellent opportunity to share and exchange information about our respective roles and functions and to discuss</w:t>
      </w:r>
      <w:r w:rsidR="00CB7757">
        <w:rPr>
          <w:rFonts w:eastAsia="MS Gothic"/>
        </w:rPr>
        <w:t xml:space="preserve"> issues</w:t>
      </w:r>
      <w:r>
        <w:rPr>
          <w:rFonts w:eastAsia="MS Gothic"/>
        </w:rPr>
        <w:t xml:space="preserve"> of common interest.</w:t>
      </w:r>
    </w:p>
    <w:p w14:paraId="5CD83651" w14:textId="77777777" w:rsidR="00ED569F" w:rsidRPr="001806F5" w:rsidRDefault="00ED569F" w:rsidP="00ED569F">
      <w:pPr>
        <w:rPr>
          <w:rFonts w:eastAsia="MS Gothic"/>
        </w:rPr>
      </w:pPr>
    </w:p>
    <w:p w14:paraId="6DA8A800" w14:textId="77777777" w:rsidR="00ED569F" w:rsidRPr="00ED569F" w:rsidRDefault="00ED569F" w:rsidP="00ED569F">
      <w:pPr>
        <w:rPr>
          <w:rFonts w:eastAsia="MS Gothic"/>
          <w:b/>
        </w:rPr>
      </w:pPr>
      <w:r w:rsidRPr="00ED569F">
        <w:rPr>
          <w:rFonts w:eastAsia="MS Gothic"/>
          <w:b/>
        </w:rPr>
        <w:t>Mental Health Commission</w:t>
      </w:r>
    </w:p>
    <w:p w14:paraId="7A41FB63" w14:textId="77777777" w:rsidR="00ED569F" w:rsidRPr="001806F5" w:rsidRDefault="00ED569F" w:rsidP="00ED569F">
      <w:pPr>
        <w:rPr>
          <w:rFonts w:eastAsia="MS Gothic" w:cs="Times New Roman"/>
          <w:b/>
          <w:bCs/>
          <w:iCs/>
        </w:rPr>
      </w:pPr>
      <w:r>
        <w:rPr>
          <w:lang w:val="en-US"/>
        </w:rPr>
        <w:t xml:space="preserve">HaDSCO maintained ongoing liaison with staff from the Mental Health Commission during 2017-18 in relation to issues of common interest and provided input into the </w:t>
      </w:r>
      <w:r w:rsidRPr="00CB7757">
        <w:rPr>
          <w:i/>
          <w:lang w:val="en-US"/>
        </w:rPr>
        <w:t>Post-Implementation Review of the</w:t>
      </w:r>
      <w:r w:rsidRPr="00133C8B">
        <w:rPr>
          <w:lang w:val="en-US"/>
        </w:rPr>
        <w:t xml:space="preserve"> </w:t>
      </w:r>
      <w:r w:rsidRPr="00BB67AF">
        <w:rPr>
          <w:i/>
          <w:lang w:val="en-US"/>
        </w:rPr>
        <w:t>Mental Health Act 2014</w:t>
      </w:r>
      <w:r>
        <w:rPr>
          <w:lang w:val="en-US"/>
        </w:rPr>
        <w:t>.</w:t>
      </w:r>
    </w:p>
    <w:p w14:paraId="5055FAAD" w14:textId="77777777" w:rsidR="00ED569F" w:rsidRDefault="00ED569F" w:rsidP="00ED569F">
      <w:pPr>
        <w:rPr>
          <w:rFonts w:eastAsia="MS Gothic" w:cs="Times New Roman"/>
          <w:b/>
          <w:bCs/>
          <w:iCs/>
        </w:rPr>
      </w:pPr>
    </w:p>
    <w:p w14:paraId="0D7EA67A" w14:textId="77777777" w:rsidR="00ED569F" w:rsidRPr="00ED569F" w:rsidRDefault="00ED569F" w:rsidP="00ED569F">
      <w:pPr>
        <w:rPr>
          <w:rFonts w:eastAsia="MS Gothic"/>
          <w:b/>
        </w:rPr>
      </w:pPr>
      <w:r w:rsidRPr="00ED569F">
        <w:rPr>
          <w:rFonts w:eastAsia="MS Gothic"/>
          <w:b/>
        </w:rPr>
        <w:t xml:space="preserve">Peak industry and advocacy groups </w:t>
      </w:r>
    </w:p>
    <w:p w14:paraId="4EC551D0" w14:textId="5361A7F8" w:rsidR="00ED569F" w:rsidRDefault="00060A74" w:rsidP="00ED569F">
      <w:pPr>
        <w:rPr>
          <w:rFonts w:eastAsia="MS Gothic"/>
        </w:rPr>
      </w:pPr>
      <w:r>
        <w:rPr>
          <w:rFonts w:eastAsia="MS Gothic"/>
        </w:rPr>
        <w:t>Through</w:t>
      </w:r>
      <w:r w:rsidR="00ED569F">
        <w:rPr>
          <w:rFonts w:eastAsia="MS Gothic"/>
        </w:rPr>
        <w:t xml:space="preserve">out 2017-18, HaDSCO continued to meet with key stakeholders in the mental health sector </w:t>
      </w:r>
      <w:r w:rsidR="00CB7757">
        <w:rPr>
          <w:rFonts w:eastAsia="MS Gothic"/>
        </w:rPr>
        <w:t xml:space="preserve">to </w:t>
      </w:r>
      <w:r w:rsidR="00ED569F" w:rsidRPr="008A7654">
        <w:rPr>
          <w:rFonts w:eastAsia="MS Gothic"/>
        </w:rPr>
        <w:t>build upon, and strengthen, relationships to promote effective and efficient complaints resolution</w:t>
      </w:r>
      <w:r w:rsidR="00ED569F">
        <w:rPr>
          <w:rFonts w:eastAsia="MS Gothic"/>
        </w:rPr>
        <w:t>.</w:t>
      </w:r>
    </w:p>
    <w:p w14:paraId="02E07AF3" w14:textId="77777777" w:rsidR="00ED569F" w:rsidRDefault="00ED569F" w:rsidP="00ED569F">
      <w:pPr>
        <w:rPr>
          <w:lang w:val="en-US"/>
        </w:rPr>
      </w:pPr>
    </w:p>
    <w:p w14:paraId="78D95C58" w14:textId="170C910F" w:rsidR="00ED569F" w:rsidRDefault="00ED569F" w:rsidP="00ED569F">
      <w:pPr>
        <w:rPr>
          <w:rFonts w:eastAsia="MS Gothic"/>
        </w:rPr>
      </w:pPr>
      <w:r>
        <w:rPr>
          <w:lang w:val="en-US"/>
        </w:rPr>
        <w:t xml:space="preserve">HaDSCO also undertook stakeholder engagement with a range of peak industry and advocacy groups including Helping Minds, </w:t>
      </w:r>
      <w:r w:rsidRPr="004C1C02">
        <w:rPr>
          <w:rFonts w:eastAsia="MS Gothic"/>
        </w:rPr>
        <w:t xml:space="preserve">Consumers of Mental Health WA (Inc) </w:t>
      </w:r>
      <w:r>
        <w:rPr>
          <w:rFonts w:eastAsia="MS Gothic"/>
        </w:rPr>
        <w:t>(</w:t>
      </w:r>
      <w:r w:rsidRPr="004C1C02">
        <w:rPr>
          <w:rFonts w:eastAsia="MS Gothic"/>
        </w:rPr>
        <w:t>CoMHWA</w:t>
      </w:r>
      <w:r>
        <w:rPr>
          <w:rFonts w:eastAsia="MS Gothic"/>
        </w:rPr>
        <w:t xml:space="preserve">) and </w:t>
      </w:r>
      <w:r w:rsidR="00CB7757">
        <w:rPr>
          <w:rFonts w:eastAsia="MS Gothic"/>
        </w:rPr>
        <w:t xml:space="preserve">the </w:t>
      </w:r>
      <w:r>
        <w:rPr>
          <w:rFonts w:eastAsia="MS Gothic"/>
        </w:rPr>
        <w:t xml:space="preserve">Mental Health Advocacy Service. </w:t>
      </w:r>
    </w:p>
    <w:p w14:paraId="45B89248" w14:textId="77777777" w:rsidR="00ED569F" w:rsidRDefault="00ED569F" w:rsidP="00ED569F">
      <w:pPr>
        <w:rPr>
          <w:rFonts w:eastAsia="MS Gothic"/>
        </w:rPr>
      </w:pPr>
    </w:p>
    <w:p w14:paraId="54D0BDBB" w14:textId="3082DF78" w:rsidR="00ED569F" w:rsidRDefault="00ED569F" w:rsidP="00ED569F">
      <w:pPr>
        <w:rPr>
          <w:rFonts w:eastAsia="MS Gothic"/>
        </w:rPr>
      </w:pPr>
      <w:r>
        <w:rPr>
          <w:lang w:val="en-US"/>
        </w:rPr>
        <w:t xml:space="preserve">In August 2017, HaDSCO gave a </w:t>
      </w:r>
      <w:r w:rsidRPr="004C1C02">
        <w:rPr>
          <w:rFonts w:eastAsia="MS Gothic"/>
        </w:rPr>
        <w:t xml:space="preserve">presentation to Helping Minds' staff </w:t>
      </w:r>
      <w:r>
        <w:rPr>
          <w:rFonts w:eastAsia="MS Gothic"/>
        </w:rPr>
        <w:t xml:space="preserve">on the </w:t>
      </w:r>
      <w:r w:rsidRPr="004C1C02">
        <w:rPr>
          <w:rFonts w:eastAsia="MS Gothic"/>
        </w:rPr>
        <w:t>role and functions of HaDSCO</w:t>
      </w:r>
      <w:r w:rsidR="00CB7757">
        <w:rPr>
          <w:rFonts w:eastAsia="MS Gothic"/>
        </w:rPr>
        <w:t>.</w:t>
      </w:r>
      <w:r>
        <w:rPr>
          <w:rFonts w:eastAsia="MS Gothic"/>
        </w:rPr>
        <w:t xml:space="preserve"> </w:t>
      </w:r>
      <w:r w:rsidR="00CB7757">
        <w:rPr>
          <w:rFonts w:eastAsia="MS Gothic"/>
        </w:rPr>
        <w:t>I</w:t>
      </w:r>
      <w:r>
        <w:rPr>
          <w:rFonts w:eastAsia="MS Gothic"/>
        </w:rPr>
        <w:t xml:space="preserve">n February 2018, HaDSCO attended the </w:t>
      </w:r>
      <w:r w:rsidRPr="004C1C02">
        <w:rPr>
          <w:rFonts w:eastAsia="MS Gothic"/>
        </w:rPr>
        <w:t xml:space="preserve">Helping Minds launch of 'Our Stories' Showreel </w:t>
      </w:r>
      <w:r>
        <w:rPr>
          <w:rFonts w:eastAsia="MS Gothic"/>
        </w:rPr>
        <w:t>– A</w:t>
      </w:r>
      <w:r w:rsidRPr="004C1C02">
        <w:rPr>
          <w:rFonts w:eastAsia="MS Gothic"/>
        </w:rPr>
        <w:t xml:space="preserve"> collection of real stories from mental health carers and consumers</w:t>
      </w:r>
      <w:r>
        <w:rPr>
          <w:rFonts w:eastAsia="MS Gothic"/>
        </w:rPr>
        <w:t xml:space="preserve"> which further strengthened awareness of ‘lived experiences’ of both people with mental health, or carers of people with mental health. </w:t>
      </w:r>
    </w:p>
    <w:p w14:paraId="670B8626" w14:textId="77777777" w:rsidR="00ED569F" w:rsidRDefault="00ED569F" w:rsidP="00ED569F">
      <w:pPr>
        <w:rPr>
          <w:rFonts w:eastAsia="MS Gothic"/>
        </w:rPr>
      </w:pPr>
    </w:p>
    <w:p w14:paraId="40264A21" w14:textId="27C3DA28" w:rsidR="00ED569F" w:rsidRPr="00EB741A" w:rsidRDefault="00ED569F" w:rsidP="00ED569F">
      <w:pPr>
        <w:rPr>
          <w:rFonts w:eastAsia="MS Gothic"/>
        </w:rPr>
      </w:pPr>
      <w:r>
        <w:rPr>
          <w:rFonts w:eastAsia="MS Gothic"/>
        </w:rPr>
        <w:t>In addition, in August 2017, HaDSCO gave a p</w:t>
      </w:r>
      <w:r w:rsidRPr="00EB741A">
        <w:rPr>
          <w:rFonts w:eastAsia="MS Gothic"/>
        </w:rPr>
        <w:t>resentation at the Mental Illness Fellowship of WA, Lorikeet Centre</w:t>
      </w:r>
      <w:r w:rsidR="00CB7757">
        <w:rPr>
          <w:rFonts w:eastAsia="MS Gothic"/>
        </w:rPr>
        <w:t>,</w:t>
      </w:r>
      <w:r w:rsidRPr="00EB741A">
        <w:rPr>
          <w:rFonts w:eastAsia="MS Gothic"/>
        </w:rPr>
        <w:t xml:space="preserve"> </w:t>
      </w:r>
      <w:r>
        <w:rPr>
          <w:rFonts w:eastAsia="MS Gothic"/>
        </w:rPr>
        <w:t>and gave advice about raising concerns or making complaints about mental health services.</w:t>
      </w:r>
    </w:p>
    <w:p w14:paraId="2887FAB6" w14:textId="77777777" w:rsidR="00F0490F" w:rsidRDefault="00F0490F" w:rsidP="00ED569F">
      <w:pPr>
        <w:rPr>
          <w:rFonts w:eastAsia="MS Gothic"/>
        </w:rPr>
      </w:pPr>
    </w:p>
    <w:p w14:paraId="17F6A42A" w14:textId="77777777" w:rsidR="00ED569F" w:rsidRDefault="00ED569F" w:rsidP="00ED569F">
      <w:pPr>
        <w:rPr>
          <w:rFonts w:eastAsia="MS Gothic"/>
        </w:rPr>
      </w:pPr>
      <w:r>
        <w:rPr>
          <w:rFonts w:eastAsia="MS Gothic"/>
        </w:rPr>
        <w:t xml:space="preserve">HaDSCO attended the launch of </w:t>
      </w:r>
      <w:r w:rsidRPr="004C1C02">
        <w:rPr>
          <w:rFonts w:eastAsia="MS Gothic"/>
        </w:rPr>
        <w:t xml:space="preserve">CoMHWA's M3Q (My Medicine and Me) </w:t>
      </w:r>
      <w:r>
        <w:rPr>
          <w:rFonts w:eastAsia="MS Gothic"/>
        </w:rPr>
        <w:t>project in December 2017. In June 2018 staff received a presentation on the project to raise awareness of the M3Q product to assist people who contact HaDSCO about mental health services and related complaints.</w:t>
      </w:r>
    </w:p>
    <w:p w14:paraId="6C04A05E" w14:textId="77777777" w:rsidR="00ED569F" w:rsidRDefault="00ED569F" w:rsidP="00ED569F">
      <w:pPr>
        <w:rPr>
          <w:rFonts w:eastAsia="MS Gothic"/>
        </w:rPr>
      </w:pPr>
    </w:p>
    <w:p w14:paraId="0889306F" w14:textId="77777777" w:rsidR="00ED569F" w:rsidRPr="006400C4" w:rsidRDefault="00ED569F" w:rsidP="006400C4">
      <w:pPr>
        <w:pStyle w:val="Heading2"/>
        <w:numPr>
          <w:ilvl w:val="1"/>
          <w:numId w:val="30"/>
        </w:numPr>
        <w:rPr>
          <w:color w:val="04356B"/>
        </w:rPr>
      </w:pPr>
      <w:bookmarkStart w:id="238" w:name="_Toc493506762"/>
      <w:bookmarkStart w:id="239" w:name="_Toc522094808"/>
      <w:r w:rsidRPr="006400C4">
        <w:rPr>
          <w:color w:val="04356B"/>
        </w:rPr>
        <w:t>Awareness and accessibility</w:t>
      </w:r>
      <w:bookmarkEnd w:id="238"/>
      <w:bookmarkEnd w:id="239"/>
      <w:r w:rsidRPr="006400C4">
        <w:rPr>
          <w:color w:val="04356B"/>
        </w:rPr>
        <w:t xml:space="preserve"> </w:t>
      </w:r>
    </w:p>
    <w:p w14:paraId="1213D696" w14:textId="77777777" w:rsidR="00ED569F" w:rsidRPr="00A6373D" w:rsidRDefault="00ED569F" w:rsidP="00ED569F">
      <w:bookmarkStart w:id="240" w:name="_Toc459621647"/>
    </w:p>
    <w:p w14:paraId="1E1BFE2E" w14:textId="77777777" w:rsidR="00ED569F" w:rsidRPr="00A6373D" w:rsidRDefault="00ED569F" w:rsidP="00ED569F">
      <w:r w:rsidRPr="00A6373D">
        <w:t>In 201</w:t>
      </w:r>
      <w:r>
        <w:t>7</w:t>
      </w:r>
      <w:r w:rsidRPr="00A6373D">
        <w:t>-1</w:t>
      </w:r>
      <w:r>
        <w:t>8</w:t>
      </w:r>
      <w:r w:rsidRPr="00A6373D">
        <w:t>, we continued to utilise a range of strategies to raise awareness of, and accessibility to, our Office. We:</w:t>
      </w:r>
    </w:p>
    <w:p w14:paraId="32F2DB57" w14:textId="77777777" w:rsidR="00ED569F" w:rsidRPr="00A6373D" w:rsidRDefault="00ED569F" w:rsidP="00ED569F"/>
    <w:p w14:paraId="29D56E07" w14:textId="77777777" w:rsidR="00ED569F" w:rsidRPr="00A6373D" w:rsidRDefault="00ED569F" w:rsidP="000B6A67">
      <w:pPr>
        <w:numPr>
          <w:ilvl w:val="0"/>
          <w:numId w:val="6"/>
        </w:numPr>
        <w:ind w:left="426"/>
        <w:contextualSpacing/>
      </w:pPr>
      <w:r w:rsidRPr="00A6373D">
        <w:t>Promoted the use of HaDSCO’s toll free number for country callers.</w:t>
      </w:r>
    </w:p>
    <w:p w14:paraId="7BEAB8B6" w14:textId="77777777" w:rsidR="00ED569F" w:rsidRPr="00A6373D" w:rsidRDefault="00ED569F" w:rsidP="000B6A67">
      <w:pPr>
        <w:numPr>
          <w:ilvl w:val="0"/>
          <w:numId w:val="6"/>
        </w:numPr>
        <w:ind w:left="426"/>
        <w:contextualSpacing/>
      </w:pPr>
      <w:r w:rsidRPr="00A6373D">
        <w:t>Provided access to interpreter services via the Translating and Interpreting Service.</w:t>
      </w:r>
    </w:p>
    <w:p w14:paraId="76BD2AD4" w14:textId="77777777" w:rsidR="00ED569F" w:rsidRPr="00A6373D" w:rsidRDefault="00ED569F" w:rsidP="000B6A67">
      <w:pPr>
        <w:numPr>
          <w:ilvl w:val="0"/>
          <w:numId w:val="6"/>
        </w:numPr>
        <w:ind w:left="426"/>
        <w:contextualSpacing/>
      </w:pPr>
      <w:r w:rsidRPr="00A6373D">
        <w:t>Promoted the use of translated brochures explaining the role of the Office in eight different language variations available via our website.</w:t>
      </w:r>
    </w:p>
    <w:p w14:paraId="52210BDD" w14:textId="77777777" w:rsidR="00ED569F" w:rsidRPr="00A6373D" w:rsidRDefault="00ED569F" w:rsidP="000B6A67">
      <w:pPr>
        <w:numPr>
          <w:ilvl w:val="0"/>
          <w:numId w:val="6"/>
        </w:numPr>
        <w:ind w:left="426"/>
        <w:contextualSpacing/>
      </w:pPr>
      <w:r w:rsidRPr="00A6373D">
        <w:t xml:space="preserve">Created </w:t>
      </w:r>
      <w:r>
        <w:t xml:space="preserve">four new tailored </w:t>
      </w:r>
      <w:r w:rsidRPr="00A6373D">
        <w:t>information sheet</w:t>
      </w:r>
      <w:r>
        <w:t>s</w:t>
      </w:r>
      <w:r w:rsidRPr="00A6373D">
        <w:t xml:space="preserve"> </w:t>
      </w:r>
      <w:r>
        <w:t xml:space="preserve">covering the nature of complaints we can receive about health, disability, mental health and prison health services </w:t>
      </w:r>
      <w:r w:rsidRPr="00A6373D">
        <w:t xml:space="preserve">to assist </w:t>
      </w:r>
      <w:r>
        <w:t>members of the community</w:t>
      </w:r>
      <w:r w:rsidRPr="00A6373D">
        <w:t xml:space="preserve"> to access our services. </w:t>
      </w:r>
    </w:p>
    <w:p w14:paraId="58D0F912" w14:textId="77777777" w:rsidR="00ED569F" w:rsidRPr="00A6373D" w:rsidRDefault="00ED569F" w:rsidP="000B6A67">
      <w:pPr>
        <w:numPr>
          <w:ilvl w:val="0"/>
          <w:numId w:val="6"/>
        </w:numPr>
        <w:ind w:left="426"/>
        <w:contextualSpacing/>
      </w:pPr>
      <w:r w:rsidRPr="00A6373D">
        <w:t>Implemented ongoing updates to HaDSCO’s website as a means to keep our stakeholders well informed.</w:t>
      </w:r>
    </w:p>
    <w:p w14:paraId="63F014EF" w14:textId="77777777" w:rsidR="00ED569F" w:rsidRPr="00A6373D" w:rsidRDefault="00ED569F" w:rsidP="000B6A67">
      <w:pPr>
        <w:numPr>
          <w:ilvl w:val="0"/>
          <w:numId w:val="6"/>
        </w:numPr>
        <w:ind w:left="426"/>
        <w:contextualSpacing/>
      </w:pPr>
      <w:r w:rsidRPr="00A6373D">
        <w:lastRenderedPageBreak/>
        <w:t>Provided access to the Office through email and online services including an online complaints form.</w:t>
      </w:r>
    </w:p>
    <w:p w14:paraId="0C5FF629" w14:textId="6829E38D" w:rsidR="00ED569F" w:rsidRPr="00A6373D" w:rsidRDefault="00ED569F" w:rsidP="000B6A67">
      <w:pPr>
        <w:numPr>
          <w:ilvl w:val="0"/>
          <w:numId w:val="6"/>
        </w:numPr>
        <w:ind w:left="426"/>
        <w:contextualSpacing/>
      </w:pPr>
      <w:r w:rsidRPr="00A6373D">
        <w:t>Continued to invite consumer feedback about our complaints management process.</w:t>
      </w:r>
    </w:p>
    <w:p w14:paraId="5873347F" w14:textId="77777777" w:rsidR="00ED569F" w:rsidRPr="00A6373D" w:rsidRDefault="00ED569F" w:rsidP="00ED569F">
      <w:pPr>
        <w:rPr>
          <w:rFonts w:eastAsia="MS Gothic" w:cs="Times New Roman"/>
          <w:b/>
          <w:bCs/>
          <w:iCs/>
          <w:color w:val="044C75"/>
        </w:rPr>
      </w:pPr>
    </w:p>
    <w:p w14:paraId="56B1CF6A" w14:textId="77777777" w:rsidR="00ED569F" w:rsidRPr="00A6373D" w:rsidRDefault="00ED569F" w:rsidP="00ED569F">
      <w:r>
        <w:t xml:space="preserve">Consistent with previous years, we also undertook a range of </w:t>
      </w:r>
      <w:r w:rsidRPr="00A6373D">
        <w:t>outreach activities in metropolitan and regional Western Australia</w:t>
      </w:r>
      <w:r>
        <w:t xml:space="preserve">. </w:t>
      </w:r>
      <w:r w:rsidRPr="00A6373D">
        <w:rPr>
          <w:lang w:val="en-US"/>
        </w:rPr>
        <w:t>This included</w:t>
      </w:r>
      <w:r w:rsidRPr="00A6373D">
        <w:t xml:space="preserve"> a program of presentations, consultations, complaint clinics and meetings with key groups and individuals to meet with stakeholders in person, educate communities about the role of the Office and provide access to our services. Details are set out below:</w:t>
      </w:r>
    </w:p>
    <w:p w14:paraId="7E6F0932" w14:textId="77777777" w:rsidR="00ED569F" w:rsidRPr="00A6373D" w:rsidRDefault="00ED569F" w:rsidP="00ED569F">
      <w:pPr>
        <w:rPr>
          <w:rFonts w:eastAsia="MS Gothic" w:cs="Times New Roman"/>
          <w:b/>
          <w:bCs/>
          <w:iCs/>
          <w:color w:val="044C75"/>
        </w:rPr>
      </w:pPr>
    </w:p>
    <w:p w14:paraId="04C0AE64" w14:textId="53E5E626" w:rsidR="00ED569F" w:rsidRPr="006D18D3" w:rsidRDefault="00F0490F" w:rsidP="006D18D3">
      <w:pPr>
        <w:rPr>
          <w:rFonts w:eastAsia="MS Gothic"/>
          <w:b/>
        </w:rPr>
      </w:pPr>
      <w:r>
        <w:rPr>
          <w:rFonts w:eastAsia="MS Gothic"/>
          <w:b/>
        </w:rPr>
        <w:t>O</w:t>
      </w:r>
      <w:r w:rsidR="00ED569F" w:rsidRPr="006D18D3">
        <w:rPr>
          <w:rFonts w:eastAsia="MS Gothic"/>
          <w:b/>
        </w:rPr>
        <w:t xml:space="preserve">utreach </w:t>
      </w:r>
    </w:p>
    <w:p w14:paraId="6EEEE31B" w14:textId="77777777" w:rsidR="00ED569F" w:rsidRPr="00A6373D" w:rsidRDefault="00ED569F" w:rsidP="00ED569F">
      <w:pPr>
        <w:jc w:val="both"/>
        <w:rPr>
          <w:rFonts w:eastAsia="MS Gothic" w:cs="Times New Roman"/>
          <w:b/>
          <w:bCs/>
          <w:iCs/>
        </w:rPr>
      </w:pPr>
    </w:p>
    <w:p w14:paraId="5D8B6629" w14:textId="77777777" w:rsidR="00ED569F" w:rsidRPr="00A6373D" w:rsidRDefault="00ED569F" w:rsidP="000B6A67">
      <w:pPr>
        <w:numPr>
          <w:ilvl w:val="0"/>
          <w:numId w:val="11"/>
        </w:numPr>
        <w:ind w:left="426"/>
        <w:contextualSpacing/>
        <w:rPr>
          <w:lang w:val="en-US"/>
        </w:rPr>
      </w:pPr>
      <w:r w:rsidRPr="00A6373D">
        <w:t>In November 201</w:t>
      </w:r>
      <w:r>
        <w:t>7</w:t>
      </w:r>
      <w:r w:rsidRPr="00A6373D">
        <w:t xml:space="preserve">, we participated in Perth’s Homeless Connect event providing an opportunity for individuals to discuss issues and lodge a complaint in person and engage with otherwise hard-to-reach community members, increasing awareness and accessibility. </w:t>
      </w:r>
    </w:p>
    <w:bookmarkEnd w:id="240"/>
    <w:p w14:paraId="033F4814" w14:textId="5BFF25B3" w:rsidR="00ED569F" w:rsidRPr="00F0490F" w:rsidRDefault="00ED569F" w:rsidP="000B6A67">
      <w:pPr>
        <w:numPr>
          <w:ilvl w:val="0"/>
          <w:numId w:val="11"/>
        </w:numPr>
        <w:ind w:left="426"/>
        <w:contextualSpacing/>
      </w:pPr>
      <w:r w:rsidRPr="00F0490F">
        <w:t xml:space="preserve">In February and March 2018, HaDSCO participated in a Regional </w:t>
      </w:r>
      <w:r w:rsidR="00DB4CA7" w:rsidRPr="00F0490F">
        <w:t xml:space="preserve">Awareness and </w:t>
      </w:r>
      <w:r w:rsidRPr="00F0490F">
        <w:t>Access</w:t>
      </w:r>
      <w:r w:rsidR="00DB4CA7">
        <w:t>ibility</w:t>
      </w:r>
      <w:r w:rsidRPr="00F0490F">
        <w:t xml:space="preserve"> Program in the south west of Western Australia at the invitation of the Western Australian Ombudsman’s Office. The Energy and Water Ombudsman and Commonwealth Ombudsman offices also participated in the visit. HaDSCO undertook various activities in partnership with the Ombudsman agencies including an Aboriginal Liaison session with Aboriginal services and community members and five joint agency complaint clinics.</w:t>
      </w:r>
    </w:p>
    <w:p w14:paraId="2DBCCA42" w14:textId="77777777" w:rsidR="00ED569F" w:rsidRPr="00A6373D" w:rsidRDefault="00ED569F" w:rsidP="00ED569F">
      <w:pPr>
        <w:ind w:left="426"/>
        <w:contextualSpacing/>
        <w:rPr>
          <w:lang w:val="en-US"/>
        </w:rPr>
      </w:pPr>
    </w:p>
    <w:p w14:paraId="3EA81926" w14:textId="77777777" w:rsidR="00ED569F" w:rsidRPr="00A6373D" w:rsidRDefault="00ED569F" w:rsidP="00ED569F">
      <w:pPr>
        <w:rPr>
          <w:rFonts w:eastAsia="MS Gothic" w:cs="Times New Roman"/>
          <w:b/>
          <w:bCs/>
          <w:iCs/>
        </w:rPr>
      </w:pPr>
      <w:r w:rsidRPr="00A6373D">
        <w:rPr>
          <w:rFonts w:eastAsia="MS Gothic" w:cs="Times New Roman"/>
          <w:b/>
          <w:bCs/>
          <w:iCs/>
        </w:rPr>
        <w:t xml:space="preserve">Indian Ocean Territories outreach </w:t>
      </w:r>
    </w:p>
    <w:p w14:paraId="51D9A91C" w14:textId="77777777" w:rsidR="00ED569F" w:rsidRPr="00A6373D" w:rsidRDefault="00ED569F" w:rsidP="00ED569F">
      <w:pPr>
        <w:rPr>
          <w:lang w:val="en-US"/>
        </w:rPr>
      </w:pPr>
      <w:r w:rsidRPr="00A6373D">
        <w:rPr>
          <w:rFonts w:eastAsia="MS Gothic" w:cs="Times New Roman"/>
          <w:b/>
          <w:bCs/>
          <w:iCs/>
        </w:rPr>
        <w:br/>
      </w:r>
      <w:r w:rsidRPr="00A6373D">
        <w:rPr>
          <w:lang w:val="en-US"/>
        </w:rPr>
        <w:t>As part of a Service Delivery Arrangement (SDA) with the Australian Government, HaDSCO provides a complaints management service to residents of the Indian Ocean Territories (IOT).</w:t>
      </w:r>
    </w:p>
    <w:p w14:paraId="26397D00" w14:textId="77777777" w:rsidR="00ED569F" w:rsidRPr="00A6373D" w:rsidRDefault="00ED569F" w:rsidP="00ED569F">
      <w:pPr>
        <w:rPr>
          <w:lang w:val="en-US"/>
        </w:rPr>
      </w:pPr>
    </w:p>
    <w:p w14:paraId="067D3D13" w14:textId="77777777" w:rsidR="00ED569F" w:rsidRDefault="00ED569F" w:rsidP="00ED569F">
      <w:r w:rsidRPr="00A6373D">
        <w:t>To compliment the delivery of complaint management services, a biennial visit is undertaken to provide information on HaDSCO’s complaints resolution process and raise awareness of support services provided.</w:t>
      </w:r>
      <w:r>
        <w:t xml:space="preserve"> The Office is scheduled to visit the IOT in 2018-19. Planning for the visit will commence in the new financial year.</w:t>
      </w:r>
    </w:p>
    <w:p w14:paraId="0D9CADBD" w14:textId="77777777" w:rsidR="00ED569F" w:rsidRPr="00A6373D" w:rsidRDefault="00ED569F" w:rsidP="00ED569F"/>
    <w:p w14:paraId="4EC1E91A" w14:textId="77777777" w:rsidR="00ED569F" w:rsidRPr="006400C4" w:rsidRDefault="00ED569F" w:rsidP="006400C4">
      <w:pPr>
        <w:pStyle w:val="Heading2"/>
        <w:numPr>
          <w:ilvl w:val="1"/>
          <w:numId w:val="30"/>
        </w:numPr>
        <w:rPr>
          <w:color w:val="04356B"/>
        </w:rPr>
      </w:pPr>
      <w:bookmarkStart w:id="241" w:name="_Toc493506763"/>
      <w:bookmarkStart w:id="242" w:name="_Toc522094809"/>
      <w:r w:rsidRPr="006400C4">
        <w:rPr>
          <w:color w:val="04356B"/>
        </w:rPr>
        <w:t>Publications</w:t>
      </w:r>
      <w:bookmarkEnd w:id="241"/>
      <w:bookmarkEnd w:id="242"/>
    </w:p>
    <w:p w14:paraId="00186231" w14:textId="77777777" w:rsidR="00ED569F" w:rsidRPr="009003EC" w:rsidRDefault="00ED569F" w:rsidP="00ED569F">
      <w:pPr>
        <w:autoSpaceDE w:val="0"/>
        <w:autoSpaceDN w:val="0"/>
        <w:adjustRightInd w:val="0"/>
        <w:contextualSpacing/>
      </w:pPr>
    </w:p>
    <w:p w14:paraId="427B99D0" w14:textId="77777777" w:rsidR="00ED569F" w:rsidRPr="009003EC" w:rsidRDefault="00ED569F" w:rsidP="00ED569F">
      <w:r w:rsidRPr="009003EC">
        <w:t>During 201</w:t>
      </w:r>
      <w:r>
        <w:t>7</w:t>
      </w:r>
      <w:r w:rsidRPr="009003EC">
        <w:t>-1</w:t>
      </w:r>
      <w:r>
        <w:t>8</w:t>
      </w:r>
      <w:r w:rsidRPr="009003EC">
        <w:t>, we developed and distributed a range of resources for service providers and the community including:</w:t>
      </w:r>
    </w:p>
    <w:p w14:paraId="1AC89A41" w14:textId="77777777" w:rsidR="00ED569F" w:rsidRPr="009003EC" w:rsidRDefault="00ED569F" w:rsidP="00ED569F">
      <w:pPr>
        <w:autoSpaceDE w:val="0"/>
        <w:autoSpaceDN w:val="0"/>
        <w:adjustRightInd w:val="0"/>
        <w:contextualSpacing/>
      </w:pPr>
    </w:p>
    <w:p w14:paraId="1CD280FD" w14:textId="77777777" w:rsidR="00ED569F" w:rsidRDefault="00ED569F" w:rsidP="00ED569F">
      <w:pPr>
        <w:autoSpaceDE w:val="0"/>
        <w:autoSpaceDN w:val="0"/>
        <w:adjustRightInd w:val="0"/>
        <w:contextualSpacing/>
        <w:rPr>
          <w:b/>
        </w:rPr>
      </w:pPr>
      <w:r w:rsidRPr="00BB67AF">
        <w:rPr>
          <w:b/>
        </w:rPr>
        <w:t>Report Cards</w:t>
      </w:r>
      <w:r>
        <w:rPr>
          <w:b/>
        </w:rPr>
        <w:t xml:space="preserve"> </w:t>
      </w:r>
    </w:p>
    <w:p w14:paraId="52AB276D" w14:textId="77777777" w:rsidR="00ED569F" w:rsidRPr="00BB67AF" w:rsidRDefault="00ED569F" w:rsidP="00ED569F">
      <w:pPr>
        <w:autoSpaceDE w:val="0"/>
        <w:autoSpaceDN w:val="0"/>
        <w:adjustRightInd w:val="0"/>
        <w:contextualSpacing/>
      </w:pPr>
    </w:p>
    <w:p w14:paraId="0B145F50" w14:textId="285D7E93" w:rsidR="00ED569F" w:rsidRDefault="00ED569F" w:rsidP="00ED569F">
      <w:pPr>
        <w:autoSpaceDE w:val="0"/>
        <w:autoSpaceDN w:val="0"/>
        <w:adjustRightInd w:val="0"/>
        <w:contextualSpacing/>
      </w:pPr>
      <w:r w:rsidRPr="00BB67AF">
        <w:t>A number of the complaints received about health service provi</w:t>
      </w:r>
      <w:r w:rsidR="002D38A4">
        <w:t>ders concerned the five public health service p</w:t>
      </w:r>
      <w:r w:rsidRPr="00BB67AF">
        <w:t xml:space="preserve">roviders in WA Health, two private health service providers and the Department of Justice in relation to health services provided in Western Australian prisons.  </w:t>
      </w:r>
    </w:p>
    <w:p w14:paraId="279923F4" w14:textId="77777777" w:rsidR="00ED569F" w:rsidRDefault="00ED569F" w:rsidP="00ED569F">
      <w:pPr>
        <w:autoSpaceDE w:val="0"/>
        <w:autoSpaceDN w:val="0"/>
        <w:adjustRightInd w:val="0"/>
        <w:contextualSpacing/>
      </w:pPr>
    </w:p>
    <w:p w14:paraId="390521B5" w14:textId="66562775" w:rsidR="00ED569F" w:rsidRPr="00BB67AF" w:rsidRDefault="00ED569F" w:rsidP="00ED569F">
      <w:pPr>
        <w:autoSpaceDE w:val="0"/>
        <w:autoSpaceDN w:val="0"/>
        <w:adjustRightInd w:val="0"/>
        <w:contextualSpacing/>
      </w:pPr>
      <w:r w:rsidRPr="00BB67AF">
        <w:t>Therefore, to assist these providers to gain an appreciation of the complaints managed by HaDSCO that related to their services, in November 2017</w:t>
      </w:r>
      <w:r w:rsidR="00DB4CA7">
        <w:t>,</w:t>
      </w:r>
      <w:r w:rsidRPr="00BB67AF">
        <w:t xml:space="preserve"> HaDSCO </w:t>
      </w:r>
      <w:r w:rsidRPr="00BB67AF">
        <w:lastRenderedPageBreak/>
        <w:t xml:space="preserve">prepared </w:t>
      </w:r>
      <w:r>
        <w:t xml:space="preserve">and distributed for the first time </w:t>
      </w:r>
      <w:r w:rsidRPr="00BB67AF">
        <w:t xml:space="preserve">individual Complaints Report Cards which provided information on complaints closed for the individual providers. </w:t>
      </w:r>
    </w:p>
    <w:p w14:paraId="14EADCF8" w14:textId="77777777" w:rsidR="00ED569F" w:rsidRPr="00BB67AF" w:rsidRDefault="00ED569F" w:rsidP="00ED569F">
      <w:pPr>
        <w:autoSpaceDE w:val="0"/>
        <w:autoSpaceDN w:val="0"/>
        <w:adjustRightInd w:val="0"/>
        <w:contextualSpacing/>
      </w:pPr>
    </w:p>
    <w:p w14:paraId="112BE320" w14:textId="77777777" w:rsidR="00ED569F" w:rsidRDefault="00ED569F" w:rsidP="00ED569F">
      <w:pPr>
        <w:autoSpaceDE w:val="0"/>
        <w:autoSpaceDN w:val="0"/>
        <w:adjustRightInd w:val="0"/>
        <w:contextualSpacing/>
      </w:pPr>
      <w:r w:rsidRPr="00BB67AF">
        <w:t xml:space="preserve">Contained within the Report Cards </w:t>
      </w:r>
      <w:r>
        <w:t>we</w:t>
      </w:r>
      <w:r w:rsidRPr="00BB67AF">
        <w:t>re details of the complaints closed, the resolution stages achieved, complaint outcome objectives, common complaint categories and complaint issues, and complaint outcomes achieved, including remedies for individuals and service improvements.</w:t>
      </w:r>
      <w:r>
        <w:t xml:space="preserve"> Information was provided in both graphical and text formats to enable key messages to be understood easily.</w:t>
      </w:r>
    </w:p>
    <w:p w14:paraId="5BB4EB9C" w14:textId="77777777" w:rsidR="00ED569F" w:rsidRDefault="00ED569F" w:rsidP="00ED569F">
      <w:pPr>
        <w:autoSpaceDE w:val="0"/>
        <w:autoSpaceDN w:val="0"/>
        <w:adjustRightInd w:val="0"/>
        <w:contextualSpacing/>
      </w:pPr>
    </w:p>
    <w:p w14:paraId="46BFA739" w14:textId="12348EC5" w:rsidR="00ED569F" w:rsidRPr="00BB67AF" w:rsidRDefault="00ED569F" w:rsidP="00ED569F">
      <w:pPr>
        <w:autoSpaceDE w:val="0"/>
        <w:autoSpaceDN w:val="0"/>
        <w:adjustRightInd w:val="0"/>
        <w:contextualSpacing/>
      </w:pPr>
      <w:r w:rsidRPr="00991092">
        <w:t>HaDSCO received positive feedback from a number of the service providers on the Complaints Report Cards</w:t>
      </w:r>
      <w:r w:rsidR="00DB4CA7">
        <w:t>.</w:t>
      </w:r>
    </w:p>
    <w:p w14:paraId="417F1098" w14:textId="77777777" w:rsidR="00ED569F" w:rsidRPr="009003EC" w:rsidRDefault="00ED569F" w:rsidP="00ED569F">
      <w:pPr>
        <w:autoSpaceDE w:val="0"/>
        <w:autoSpaceDN w:val="0"/>
        <w:adjustRightInd w:val="0"/>
        <w:contextualSpacing/>
      </w:pPr>
    </w:p>
    <w:p w14:paraId="42AC7DB9" w14:textId="20CF6FDD" w:rsidR="00ED569F" w:rsidRDefault="00ED569F" w:rsidP="00ED569F">
      <w:pPr>
        <w:autoSpaceDE w:val="0"/>
        <w:autoSpaceDN w:val="0"/>
        <w:adjustRightInd w:val="0"/>
        <w:contextualSpacing/>
        <w:rPr>
          <w:b/>
        </w:rPr>
      </w:pPr>
      <w:r w:rsidRPr="00BB67AF">
        <w:rPr>
          <w:b/>
        </w:rPr>
        <w:t>External data collection reports</w:t>
      </w:r>
    </w:p>
    <w:p w14:paraId="6E5FE843" w14:textId="77777777" w:rsidR="00ED569F" w:rsidRDefault="00ED569F" w:rsidP="00ED569F">
      <w:pPr>
        <w:autoSpaceDE w:val="0"/>
        <w:autoSpaceDN w:val="0"/>
        <w:adjustRightInd w:val="0"/>
        <w:contextualSpacing/>
      </w:pPr>
      <w:r>
        <w:t>As a result of the annual complaint returns provided to HaDSCO though the data collection programs u</w:t>
      </w:r>
      <w:r w:rsidRPr="000E226C">
        <w:t xml:space="preserve">nder section 75 of the </w:t>
      </w:r>
      <w:r w:rsidRPr="000E226C">
        <w:rPr>
          <w:i/>
        </w:rPr>
        <w:t>Health and Disability Services (Complaints) Act 1995</w:t>
      </w:r>
      <w:r>
        <w:t xml:space="preserve"> and </w:t>
      </w:r>
      <w:r w:rsidRPr="000E226C">
        <w:t xml:space="preserve">section 48A of the </w:t>
      </w:r>
      <w:r w:rsidRPr="000E226C">
        <w:rPr>
          <w:i/>
        </w:rPr>
        <w:t>Disability Services Act 1993</w:t>
      </w:r>
      <w:r>
        <w:t>, HaDSCO prepared and provided the following reports to participating providers in March 2018:</w:t>
      </w:r>
    </w:p>
    <w:p w14:paraId="705E4C2C" w14:textId="77777777" w:rsidR="00ED569F" w:rsidRDefault="00ED569F" w:rsidP="00ED569F">
      <w:pPr>
        <w:autoSpaceDE w:val="0"/>
        <w:autoSpaceDN w:val="0"/>
        <w:adjustRightInd w:val="0"/>
        <w:contextualSpacing/>
      </w:pPr>
    </w:p>
    <w:p w14:paraId="6C9D1B29" w14:textId="163A6CC8" w:rsidR="00ED569F" w:rsidRDefault="00ED569F" w:rsidP="000B6A67">
      <w:pPr>
        <w:numPr>
          <w:ilvl w:val="0"/>
          <w:numId w:val="11"/>
        </w:numPr>
        <w:ind w:left="426"/>
        <w:contextualSpacing/>
      </w:pPr>
      <w:r>
        <w:t>For</w:t>
      </w:r>
      <w:r w:rsidRPr="000E226C">
        <w:t xml:space="preserve"> section 75 prescribed </w:t>
      </w:r>
      <w:r w:rsidR="009303F5">
        <w:t xml:space="preserve">service </w:t>
      </w:r>
      <w:r w:rsidRPr="000E226C">
        <w:t>providers</w:t>
      </w:r>
      <w:r>
        <w:t xml:space="preserve">, </w:t>
      </w:r>
      <w:r w:rsidRPr="000E226C">
        <w:t xml:space="preserve">a report titled </w:t>
      </w:r>
      <w:r w:rsidRPr="000E226C">
        <w:rPr>
          <w:i/>
        </w:rPr>
        <w:t>Heal</w:t>
      </w:r>
      <w:r w:rsidR="009303F5">
        <w:rPr>
          <w:i/>
        </w:rPr>
        <w:t>th Complaint Trends Report 2014-</w:t>
      </w:r>
      <w:r w:rsidRPr="000E226C">
        <w:rPr>
          <w:i/>
        </w:rPr>
        <w:t>17</w:t>
      </w:r>
      <w:r w:rsidRPr="000E226C">
        <w:t>. This report provided an in-depth analysis of the complaint trends observed across the three financial</w:t>
      </w:r>
      <w:r w:rsidR="00DB4CA7">
        <w:t xml:space="preserve"> years from 2014-15 to 2016-</w:t>
      </w:r>
      <w:r w:rsidRPr="000E226C">
        <w:t>17. This report builds upon HaDSCO’s last Health Complaints Trends Report, published in 2014.</w:t>
      </w:r>
    </w:p>
    <w:p w14:paraId="6227D261" w14:textId="5C0CADDE" w:rsidR="00ED569F" w:rsidRPr="000E226C" w:rsidRDefault="00ED569F" w:rsidP="000B6A67">
      <w:pPr>
        <w:numPr>
          <w:ilvl w:val="0"/>
          <w:numId w:val="11"/>
        </w:numPr>
        <w:ind w:left="426"/>
        <w:contextualSpacing/>
      </w:pPr>
      <w:r>
        <w:t xml:space="preserve">For section </w:t>
      </w:r>
      <w:r w:rsidRPr="000E226C">
        <w:t xml:space="preserve">48A prescribed </w:t>
      </w:r>
      <w:r w:rsidR="009303F5">
        <w:t xml:space="preserve">service </w:t>
      </w:r>
      <w:r w:rsidRPr="000E226C">
        <w:t xml:space="preserve">providers, a report titled </w:t>
      </w:r>
      <w:r w:rsidRPr="000E226C">
        <w:rPr>
          <w:i/>
        </w:rPr>
        <w:t>Disability Services Data</w:t>
      </w:r>
      <w:r w:rsidR="00DB4CA7">
        <w:rPr>
          <w:i/>
        </w:rPr>
        <w:t xml:space="preserve"> Collection Program Report 2016-</w:t>
      </w:r>
      <w:r w:rsidRPr="000E226C">
        <w:rPr>
          <w:i/>
        </w:rPr>
        <w:t>17</w:t>
      </w:r>
      <w:r w:rsidRPr="000E226C">
        <w:t>. This report provided an in-depth analysis of the complaint trends observed across th</w:t>
      </w:r>
      <w:r>
        <w:t>e two financial years from 2015-16 to 2016-</w:t>
      </w:r>
      <w:r w:rsidRPr="000E226C">
        <w:t>17.</w:t>
      </w:r>
    </w:p>
    <w:p w14:paraId="2CBEAF07" w14:textId="77777777" w:rsidR="00ED569F" w:rsidRPr="000E226C" w:rsidRDefault="00ED569F" w:rsidP="00ED569F">
      <w:pPr>
        <w:autoSpaceDE w:val="0"/>
        <w:autoSpaceDN w:val="0"/>
        <w:adjustRightInd w:val="0"/>
        <w:contextualSpacing/>
      </w:pPr>
    </w:p>
    <w:p w14:paraId="2A4D6694" w14:textId="289871BB" w:rsidR="00ED569F" w:rsidRDefault="00ED569F" w:rsidP="00ED569F">
      <w:pPr>
        <w:autoSpaceDE w:val="0"/>
        <w:autoSpaceDN w:val="0"/>
        <w:adjustRightInd w:val="0"/>
        <w:contextualSpacing/>
      </w:pPr>
      <w:r>
        <w:t>Both s</w:t>
      </w:r>
      <w:r w:rsidRPr="000E226C">
        <w:t xml:space="preserve">ection 75 and 48A providers were also given the </w:t>
      </w:r>
      <w:r w:rsidR="00DB4CA7">
        <w:rPr>
          <w:i/>
        </w:rPr>
        <w:t>2016-</w:t>
      </w:r>
      <w:r w:rsidRPr="000E226C">
        <w:rPr>
          <w:i/>
        </w:rPr>
        <w:t>17 Health Infographic</w:t>
      </w:r>
      <w:r w:rsidRPr="000E226C">
        <w:t xml:space="preserve"> and </w:t>
      </w:r>
      <w:r w:rsidR="00DB4CA7">
        <w:rPr>
          <w:i/>
        </w:rPr>
        <w:t>2016-</w:t>
      </w:r>
      <w:r w:rsidRPr="000E226C">
        <w:rPr>
          <w:i/>
        </w:rPr>
        <w:t>17 Disability Services Data Collection Program Infographic</w:t>
      </w:r>
      <w:r w:rsidRPr="000E226C">
        <w:t xml:space="preserve"> respectively, created to provide the </w:t>
      </w:r>
      <w:r w:rsidR="00DB4CA7">
        <w:t>complaints information for 2016-</w:t>
      </w:r>
      <w:r w:rsidRPr="000E226C">
        <w:t>17 in a visual format. The infographics included information on the number of complaints, the issues identified, the outcomes achieved, demographics of the people making the complaints and the timeliness of complaint resolution.</w:t>
      </w:r>
    </w:p>
    <w:p w14:paraId="7664F6BB" w14:textId="77777777" w:rsidR="00ED569F" w:rsidRPr="009003EC" w:rsidRDefault="00ED569F" w:rsidP="00ED569F">
      <w:pPr>
        <w:autoSpaceDE w:val="0"/>
        <w:autoSpaceDN w:val="0"/>
        <w:adjustRightInd w:val="0"/>
        <w:contextualSpacing/>
      </w:pPr>
    </w:p>
    <w:p w14:paraId="1A5A6244" w14:textId="1E7A526D" w:rsidR="00ED569F" w:rsidRPr="00DB4CA7" w:rsidRDefault="00DB4CA7" w:rsidP="00ED569F">
      <w:pPr>
        <w:autoSpaceDE w:val="0"/>
        <w:autoSpaceDN w:val="0"/>
        <w:adjustRightInd w:val="0"/>
        <w:contextualSpacing/>
        <w:rPr>
          <w:b/>
          <w:i/>
        </w:rPr>
      </w:pPr>
      <w:r w:rsidRPr="00DB4CA7">
        <w:rPr>
          <w:b/>
          <w:i/>
        </w:rPr>
        <w:t>National Code of Conduct for health care w</w:t>
      </w:r>
      <w:r w:rsidR="00ED569F" w:rsidRPr="00DB4CA7">
        <w:rPr>
          <w:b/>
          <w:i/>
        </w:rPr>
        <w:t>orkers in Western Australia – Consultation Paper December 2017</w:t>
      </w:r>
    </w:p>
    <w:p w14:paraId="1878879F" w14:textId="3453FE21" w:rsidR="00ED569F" w:rsidRDefault="00ED569F" w:rsidP="00ED569F">
      <w:pPr>
        <w:autoSpaceDE w:val="0"/>
        <w:autoSpaceDN w:val="0"/>
        <w:adjustRightInd w:val="0"/>
        <w:contextualSpacing/>
      </w:pPr>
      <w:r w:rsidRPr="009003EC">
        <w:t xml:space="preserve">In December 2017, HaDSCO released </w:t>
      </w:r>
      <w:r w:rsidR="00DB4CA7">
        <w:t>its</w:t>
      </w:r>
      <w:r w:rsidRPr="009003EC">
        <w:t xml:space="preserve"> consultation paper </w:t>
      </w:r>
      <w:r w:rsidR="00DB4CA7">
        <w:t xml:space="preserve">titled </w:t>
      </w:r>
      <w:r w:rsidR="00DB4CA7" w:rsidRPr="00DB4CA7">
        <w:rPr>
          <w:i/>
        </w:rPr>
        <w:t>National Code of Conduct for health care workers in Western Australia – Consultation Paper December 2017</w:t>
      </w:r>
      <w:r w:rsidR="00DB4CA7">
        <w:rPr>
          <w:i/>
        </w:rPr>
        <w:t xml:space="preserve">, </w:t>
      </w:r>
      <w:r w:rsidRPr="00DB4CA7">
        <w:t>seeking</w:t>
      </w:r>
      <w:r w:rsidRPr="00DB4CA7">
        <w:rPr>
          <w:i/>
        </w:rPr>
        <w:t xml:space="preserve"> </w:t>
      </w:r>
      <w:r w:rsidRPr="008D4A48">
        <w:t>feedback from stakeholders on the proposed policy framework to implement the National Code</w:t>
      </w:r>
      <w:r w:rsidR="00DB4CA7">
        <w:t xml:space="preserve"> of Conduct for health care workers</w:t>
      </w:r>
      <w:r w:rsidRPr="008D4A48">
        <w:t xml:space="preserve"> in Western Australia</w:t>
      </w:r>
      <w:r w:rsidR="00DB4CA7">
        <w:t xml:space="preserve"> (National Code)</w:t>
      </w:r>
      <w:r w:rsidRPr="008D4A48">
        <w:t>.</w:t>
      </w:r>
    </w:p>
    <w:p w14:paraId="62F7AC16" w14:textId="77777777" w:rsidR="00ED569F" w:rsidRDefault="00ED569F" w:rsidP="00ED569F">
      <w:pPr>
        <w:autoSpaceDE w:val="0"/>
        <w:autoSpaceDN w:val="0"/>
        <w:adjustRightInd w:val="0"/>
        <w:contextualSpacing/>
      </w:pPr>
    </w:p>
    <w:p w14:paraId="5291B337" w14:textId="7A703A03" w:rsidR="00ED569F" w:rsidRPr="008D4A48" w:rsidRDefault="00ED569F" w:rsidP="00ED569F">
      <w:pPr>
        <w:autoSpaceDE w:val="0"/>
        <w:autoSpaceDN w:val="0"/>
        <w:adjustRightInd w:val="0"/>
        <w:contextualSpacing/>
      </w:pPr>
      <w:r>
        <w:t xml:space="preserve">The report contained information on the background to the National Code and </w:t>
      </w:r>
      <w:r w:rsidRPr="008D4A48">
        <w:t xml:space="preserve">detailed the main policy considerations for implementing </w:t>
      </w:r>
      <w:r w:rsidR="00DB4CA7">
        <w:t>it</w:t>
      </w:r>
      <w:r w:rsidRPr="008D4A48">
        <w:t xml:space="preserve"> in Western Au</w:t>
      </w:r>
      <w:r w:rsidR="00DB4CA7">
        <w:t>stralia. A</w:t>
      </w:r>
      <w:r w:rsidRPr="008D4A48">
        <w:t>sking a total of 15 questions to invite comment on the various aspects of implementation including:</w:t>
      </w:r>
    </w:p>
    <w:p w14:paraId="3A951C0C" w14:textId="77777777" w:rsidR="00ED569F" w:rsidRPr="008D4A48" w:rsidRDefault="00ED569F" w:rsidP="000B6A67">
      <w:pPr>
        <w:numPr>
          <w:ilvl w:val="0"/>
          <w:numId w:val="11"/>
        </w:numPr>
        <w:ind w:left="426"/>
        <w:contextualSpacing/>
      </w:pPr>
      <w:r w:rsidRPr="008D4A48">
        <w:t>the types of health care workers the National Code would apply to;</w:t>
      </w:r>
    </w:p>
    <w:p w14:paraId="0561D4C0" w14:textId="77777777" w:rsidR="00ED569F" w:rsidRPr="008D4A48" w:rsidRDefault="00ED569F" w:rsidP="000B6A67">
      <w:pPr>
        <w:numPr>
          <w:ilvl w:val="0"/>
          <w:numId w:val="11"/>
        </w:numPr>
        <w:ind w:left="426"/>
        <w:contextualSpacing/>
      </w:pPr>
      <w:r w:rsidRPr="008D4A48">
        <w:t>managing complaints about health care workers; and</w:t>
      </w:r>
    </w:p>
    <w:p w14:paraId="152B7BCE" w14:textId="1CA94A83" w:rsidR="00ED569F" w:rsidRDefault="00ED569F" w:rsidP="000B6A67">
      <w:pPr>
        <w:numPr>
          <w:ilvl w:val="0"/>
          <w:numId w:val="11"/>
        </w:numPr>
        <w:ind w:left="426"/>
        <w:contextualSpacing/>
      </w:pPr>
      <w:r w:rsidRPr="008D4A48">
        <w:t>issuing and monitoring compliance with prohibition orders.</w:t>
      </w:r>
    </w:p>
    <w:p w14:paraId="7179D57D" w14:textId="340B4028" w:rsidR="00ED569F" w:rsidRPr="008D4A48" w:rsidRDefault="00ED569F" w:rsidP="00DB4CA7">
      <w:r w:rsidRPr="008D4A48">
        <w:lastRenderedPageBreak/>
        <w:t xml:space="preserve">The paper was available publically on HaDSCO’s website. In addition, </w:t>
      </w:r>
      <w:r w:rsidR="00A77187">
        <w:t>it</w:t>
      </w:r>
      <w:r w:rsidRPr="008D4A48">
        <w:t xml:space="preserve"> was sent directly to a range of organisations and government entities, including government agencies, service providers, professional associations, education and training institutions, unions, charities, and advocacy organisations. </w:t>
      </w:r>
      <w:r w:rsidR="00A77187">
        <w:t>A</w:t>
      </w:r>
      <w:r w:rsidRPr="008D4A48">
        <w:t xml:space="preserve"> media statement was</w:t>
      </w:r>
      <w:r w:rsidR="00A77187">
        <w:t xml:space="preserve"> also</w:t>
      </w:r>
      <w:r w:rsidRPr="008D4A48">
        <w:t xml:space="preserve"> issued to relevant media outlets in Western Australia to raise awareness of the consultation process.</w:t>
      </w:r>
    </w:p>
    <w:p w14:paraId="6A0009E1" w14:textId="77777777" w:rsidR="00ED569F" w:rsidRDefault="00ED569F" w:rsidP="00ED569F">
      <w:pPr>
        <w:autoSpaceDE w:val="0"/>
        <w:autoSpaceDN w:val="0"/>
        <w:adjustRightInd w:val="0"/>
        <w:contextualSpacing/>
      </w:pPr>
    </w:p>
    <w:p w14:paraId="1E87E51E" w14:textId="77777777" w:rsidR="00ED569F" w:rsidRDefault="00ED569F" w:rsidP="00ED569F">
      <w:pPr>
        <w:autoSpaceDE w:val="0"/>
        <w:autoSpaceDN w:val="0"/>
        <w:adjustRightInd w:val="0"/>
        <w:contextualSpacing/>
      </w:pPr>
      <w:r w:rsidRPr="009003EC">
        <w:rPr>
          <w:b/>
        </w:rPr>
        <w:t>Information Sheets</w:t>
      </w:r>
      <w:r>
        <w:rPr>
          <w:b/>
        </w:rPr>
        <w:t xml:space="preserve"> </w:t>
      </w:r>
    </w:p>
    <w:p w14:paraId="5E6D6459" w14:textId="0BB33D01" w:rsidR="00ED569F" w:rsidRDefault="00ED569F" w:rsidP="00DB4CA7">
      <w:r>
        <w:t xml:space="preserve">During 2017-18, HaDSCO developed </w:t>
      </w:r>
      <w:r w:rsidR="002D38A4">
        <w:t>four new tailored Information S</w:t>
      </w:r>
      <w:r w:rsidRPr="009003EC">
        <w:t xml:space="preserve">heets providing practical information </w:t>
      </w:r>
      <w:r w:rsidR="00A77187">
        <w:t>on the range of matters we</w:t>
      </w:r>
      <w:r w:rsidRPr="009003EC">
        <w:t xml:space="preserve"> can receive</w:t>
      </w:r>
      <w:r w:rsidR="009E7511">
        <w:t xml:space="preserve"> complaints about in the areas of</w:t>
      </w:r>
      <w:r w:rsidRPr="009003EC">
        <w:t xml:space="preserve"> health, disability, mental health and prison health services</w:t>
      </w:r>
      <w:r>
        <w:t xml:space="preserve">. This suite of Information Sheets cover who can make a complaint; the services that can be complained about; practical examples of the range of issues under our legislation that complaints can be received about; helpful tips for making a complaint, and how to access our services.  </w:t>
      </w:r>
    </w:p>
    <w:p w14:paraId="25AF89DE" w14:textId="77777777" w:rsidR="00ED569F" w:rsidRDefault="00ED569F" w:rsidP="00ED569F">
      <w:pPr>
        <w:autoSpaceDE w:val="0"/>
        <w:autoSpaceDN w:val="0"/>
        <w:adjustRightInd w:val="0"/>
        <w:contextualSpacing/>
      </w:pPr>
    </w:p>
    <w:p w14:paraId="5A48D3D3" w14:textId="68DA4E3C" w:rsidR="00ED569F" w:rsidRDefault="00ED569F" w:rsidP="00ED569F">
      <w:pPr>
        <w:autoSpaceDE w:val="0"/>
        <w:autoSpaceDN w:val="0"/>
        <w:adjustRightInd w:val="0"/>
        <w:contextualSpacing/>
      </w:pPr>
      <w:r>
        <w:t xml:space="preserve">The Information Sheets </w:t>
      </w:r>
      <w:r w:rsidR="009E7511">
        <w:t>have received positive feedback. They can be accessed from our website.</w:t>
      </w:r>
    </w:p>
    <w:p w14:paraId="36F33F1D" w14:textId="77777777" w:rsidR="00ED569F" w:rsidRPr="009003EC" w:rsidRDefault="00ED569F" w:rsidP="00ED569F">
      <w:pPr>
        <w:rPr>
          <w:b/>
        </w:rPr>
      </w:pPr>
    </w:p>
    <w:p w14:paraId="2CC8FFDF" w14:textId="77777777" w:rsidR="00ED569F" w:rsidRPr="00A6373D" w:rsidRDefault="00ED569F" w:rsidP="00ED569F">
      <w:pPr>
        <w:rPr>
          <w:b/>
        </w:rPr>
      </w:pPr>
      <w:r w:rsidRPr="00A6373D">
        <w:rPr>
          <w:b/>
        </w:rPr>
        <w:t>Brochures and features</w:t>
      </w:r>
    </w:p>
    <w:p w14:paraId="262D7EA1" w14:textId="33D36A74" w:rsidR="00ED569F" w:rsidRPr="00A6373D" w:rsidRDefault="00ED569F" w:rsidP="00ED569F">
      <w:r w:rsidRPr="00A6373D">
        <w:t xml:space="preserve">We distributed </w:t>
      </w:r>
      <w:r>
        <w:t>1,215</w:t>
      </w:r>
      <w:r w:rsidRPr="00A6373D">
        <w:t xml:space="preserve"> brochures from our publications suite to a range of services and organisations to ensure the community was well informed about HaDSCO’s services. </w:t>
      </w:r>
    </w:p>
    <w:p w14:paraId="3A5FBC48" w14:textId="77777777" w:rsidR="00ED569F" w:rsidRPr="00A6373D" w:rsidRDefault="00ED569F" w:rsidP="00ED569F">
      <w:pPr>
        <w:rPr>
          <w:highlight w:val="yellow"/>
          <w:lang w:val="en-US"/>
        </w:rPr>
      </w:pPr>
    </w:p>
    <w:p w14:paraId="05C6EF2D" w14:textId="77777777" w:rsidR="00ED569F" w:rsidRDefault="00ED569F" w:rsidP="00ED569F">
      <w:pPr>
        <w:rPr>
          <w:rFonts w:eastAsia="MS Gothic"/>
          <w:b/>
        </w:rPr>
      </w:pPr>
      <w:r w:rsidRPr="00A6373D">
        <w:rPr>
          <w:rFonts w:eastAsia="MS Gothic"/>
          <w:b/>
        </w:rPr>
        <w:t>Ministerial support</w:t>
      </w:r>
    </w:p>
    <w:p w14:paraId="0B70B24B" w14:textId="4A4378FC" w:rsidR="00ED569F" w:rsidRPr="00A6373D" w:rsidRDefault="00ED569F" w:rsidP="00ED569F">
      <w:pPr>
        <w:rPr>
          <w:lang w:val="en-US"/>
        </w:rPr>
      </w:pPr>
      <w:r w:rsidRPr="00A6373D">
        <w:rPr>
          <w:lang w:val="en-US"/>
        </w:rPr>
        <w:t xml:space="preserve">HaDSCO has an important role providing advice and information to the State Government through close liaison with the </w:t>
      </w:r>
      <w:r w:rsidR="009E7511">
        <w:rPr>
          <w:lang w:val="en-US"/>
        </w:rPr>
        <w:t xml:space="preserve">office of the </w:t>
      </w:r>
      <w:r w:rsidRPr="00A6373D">
        <w:rPr>
          <w:lang w:val="en-US"/>
        </w:rPr>
        <w:t>Deputy Premier; Minister fo</w:t>
      </w:r>
      <w:r w:rsidR="009E7511">
        <w:rPr>
          <w:lang w:val="en-US"/>
        </w:rPr>
        <w:t>r Health; Mental Health</w:t>
      </w:r>
      <w:r w:rsidRPr="00A6373D">
        <w:rPr>
          <w:lang w:val="en-US"/>
        </w:rPr>
        <w:t>, given our statutory reporting function.</w:t>
      </w:r>
    </w:p>
    <w:p w14:paraId="7D74B159" w14:textId="77777777" w:rsidR="00ED569F" w:rsidRPr="00A6373D" w:rsidRDefault="00ED569F" w:rsidP="00ED569F">
      <w:pPr>
        <w:rPr>
          <w:lang w:val="en-US"/>
        </w:rPr>
      </w:pPr>
    </w:p>
    <w:p w14:paraId="00C495D4" w14:textId="77777777" w:rsidR="00ED569F" w:rsidRPr="00A6373D" w:rsidRDefault="00ED569F" w:rsidP="00ED569F">
      <w:pPr>
        <w:rPr>
          <w:lang w:val="en-US"/>
        </w:rPr>
      </w:pPr>
      <w:r w:rsidRPr="00A6373D">
        <w:rPr>
          <w:lang w:val="en-US"/>
        </w:rPr>
        <w:t>As part of this reporting function, we responded to a range of parliamentary questions on a variety of issues and prepared briefing notes and draft replies to correspondence for specific issues as needed.</w:t>
      </w:r>
    </w:p>
    <w:p w14:paraId="10B4881C" w14:textId="77777777" w:rsidR="00ED569F" w:rsidRPr="001F6030" w:rsidRDefault="00ED569F" w:rsidP="00ED569F">
      <w:bookmarkStart w:id="243" w:name="_GoBack"/>
      <w:bookmarkEnd w:id="243"/>
    </w:p>
    <w:sectPr w:rsidR="00ED569F" w:rsidRPr="001F6030" w:rsidSect="00277036">
      <w:footerReference w:type="default" r:id="rId75"/>
      <w:pgSz w:w="11906" w:h="16838"/>
      <w:pgMar w:top="1134" w:right="1440" w:bottom="1440" w:left="1440" w:header="720" w:footer="720"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8CC3AA1" w15:done="0"/>
  <w15:commentEx w15:paraId="4DF22FFE" w15:done="0"/>
  <w15:commentEx w15:paraId="5F2806B4" w15:done="0"/>
  <w15:commentEx w15:paraId="1D9602A8" w15:done="0"/>
  <w15:commentEx w15:paraId="1EF0A3A7" w15:done="0"/>
  <w15:commentEx w15:paraId="10C2EF20" w15:done="0"/>
  <w15:commentEx w15:paraId="215C4D9B" w15:done="0"/>
  <w15:commentEx w15:paraId="6D1A08E0" w15:done="0"/>
  <w15:commentEx w15:paraId="1AD363DA" w15:done="0"/>
  <w15:commentEx w15:paraId="3AAA5A04" w15:done="0"/>
  <w15:commentEx w15:paraId="344C31A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8CC3AA1" w16cid:durableId="1F1208FA"/>
  <w16cid:commentId w16cid:paraId="4DF22FFE" w16cid:durableId="1F1208FB"/>
  <w16cid:commentId w16cid:paraId="5F2806B4" w16cid:durableId="1F1208FC"/>
  <w16cid:commentId w16cid:paraId="1EF0A3A7" w16cid:durableId="1F1208FD"/>
  <w16cid:commentId w16cid:paraId="10C2EF20" w16cid:durableId="1F1208FE"/>
  <w16cid:commentId w16cid:paraId="215C4D9B" w16cid:durableId="1F1208FF"/>
  <w16cid:commentId w16cid:paraId="6D1A08E0" w16cid:durableId="1F120900"/>
  <w16cid:commentId w16cid:paraId="1AD363DA" w16cid:durableId="1F120901"/>
  <w16cid:commentId w16cid:paraId="3AAA5A04" w16cid:durableId="1F120C35"/>
  <w16cid:commentId w16cid:paraId="344C31A8" w16cid:durableId="1F12090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2CDFF3" w14:textId="77777777" w:rsidR="00A03A05" w:rsidRDefault="00A03A05" w:rsidP="00AD62C6">
      <w:r>
        <w:separator/>
      </w:r>
    </w:p>
  </w:endnote>
  <w:endnote w:type="continuationSeparator" w:id="0">
    <w:p w14:paraId="57F9749A" w14:textId="77777777" w:rsidR="00A03A05" w:rsidRDefault="00A03A05" w:rsidP="00AD62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altName w:val="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altName w:val="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inion Pro">
    <w:panose1 w:val="00000000000000000000"/>
    <w:charset w:val="00"/>
    <w:family w:val="roman"/>
    <w:notTrueType/>
    <w:pitch w:val="variable"/>
    <w:sig w:usb0="60000287" w:usb1="00000001" w:usb2="00000000" w:usb3="00000000" w:csb0="0000019F" w:csb1="00000000"/>
  </w:font>
  <w:font w:name="Grota Sans Rounded Book">
    <w:altName w:val="Arial"/>
    <w:panose1 w:val="00000000000000000000"/>
    <w:charset w:val="00"/>
    <w:family w:val="modern"/>
    <w:notTrueType/>
    <w:pitch w:val="variable"/>
    <w:sig w:usb0="A000002F" w:usb1="5000005B" w:usb2="00000000" w:usb3="00000000" w:csb0="00000193" w:csb1="00000000"/>
  </w:font>
  <w:font w:name="Grota Sans Rounded Black">
    <w:panose1 w:val="00000000000000000000"/>
    <w:charset w:val="00"/>
    <w:family w:val="modern"/>
    <w:notTrueType/>
    <w:pitch w:val="variable"/>
    <w:sig w:usb0="A000002F" w:usb1="5000005B"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002060"/>
        <w:sz w:val="20"/>
        <w:szCs w:val="20"/>
      </w:rPr>
      <w:id w:val="810293420"/>
      <w:docPartObj>
        <w:docPartGallery w:val="Page Numbers (Bottom of Page)"/>
        <w:docPartUnique/>
      </w:docPartObj>
    </w:sdtPr>
    <w:sdtEndPr>
      <w:rPr>
        <w:noProof/>
      </w:rPr>
    </w:sdtEndPr>
    <w:sdtContent>
      <w:p w14:paraId="1ADED336" w14:textId="77777777" w:rsidR="00A03A05" w:rsidRPr="00A35933" w:rsidRDefault="00A03A05" w:rsidP="009343C1">
        <w:pPr>
          <w:pStyle w:val="Footer"/>
          <w:rPr>
            <w:color w:val="002060"/>
            <w:sz w:val="20"/>
            <w:szCs w:val="20"/>
          </w:rPr>
        </w:pPr>
        <w:r w:rsidRPr="00A35933">
          <w:rPr>
            <w:color w:val="002060"/>
            <w:sz w:val="20"/>
            <w:szCs w:val="20"/>
          </w:rPr>
          <w:t>Health and Disability Services Complaints Office 2017-18 Annual Report</w:t>
        </w:r>
        <w:r w:rsidRPr="00A35933">
          <w:rPr>
            <w:color w:val="002060"/>
            <w:sz w:val="20"/>
            <w:szCs w:val="20"/>
          </w:rPr>
          <w:tab/>
        </w:r>
        <w:r w:rsidRPr="00A35933">
          <w:rPr>
            <w:color w:val="002060"/>
            <w:sz w:val="20"/>
            <w:szCs w:val="20"/>
          </w:rPr>
          <w:fldChar w:fldCharType="begin"/>
        </w:r>
        <w:r w:rsidRPr="00A35933">
          <w:rPr>
            <w:color w:val="002060"/>
            <w:sz w:val="20"/>
            <w:szCs w:val="20"/>
          </w:rPr>
          <w:instrText xml:space="preserve"> PAGE   \* MERGEFORMAT </w:instrText>
        </w:r>
        <w:r w:rsidRPr="00A35933">
          <w:rPr>
            <w:color w:val="002060"/>
            <w:sz w:val="20"/>
            <w:szCs w:val="20"/>
          </w:rPr>
          <w:fldChar w:fldCharType="separate"/>
        </w:r>
        <w:r w:rsidR="00277036">
          <w:rPr>
            <w:noProof/>
            <w:color w:val="002060"/>
            <w:sz w:val="20"/>
            <w:szCs w:val="20"/>
          </w:rPr>
          <w:t>17</w:t>
        </w:r>
        <w:r w:rsidRPr="00A35933">
          <w:rPr>
            <w:color w:val="002060"/>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66AF9E" w14:textId="77777777" w:rsidR="00A03A05" w:rsidRPr="006316D2" w:rsidRDefault="00A03A05" w:rsidP="00F07F9E">
    <w:pPr>
      <w:pStyle w:val="Footer"/>
      <w:rPr>
        <w:color w:val="002060"/>
        <w:sz w:val="20"/>
        <w:szCs w:val="20"/>
      </w:rPr>
    </w:pPr>
  </w:p>
  <w:p w14:paraId="796C1CC8" w14:textId="77777777" w:rsidR="00A03A05" w:rsidRPr="006316D2" w:rsidRDefault="00A03A05" w:rsidP="00F07F9E">
    <w:pPr>
      <w:pStyle w:val="Footer"/>
      <w:rPr>
        <w:color w:val="002060"/>
        <w:sz w:val="20"/>
        <w:szCs w:val="20"/>
      </w:rPr>
    </w:pPr>
    <w:r w:rsidRPr="006316D2">
      <w:rPr>
        <w:color w:val="002060"/>
        <w:sz w:val="20"/>
        <w:szCs w:val="20"/>
      </w:rPr>
      <w:t xml:space="preserve">Health and Disability Services Complaints Office 2017-18 Annual Report </w:t>
    </w:r>
    <w:r w:rsidRPr="006316D2">
      <w:rPr>
        <w:color w:val="002060"/>
        <w:sz w:val="20"/>
        <w:szCs w:val="20"/>
      </w:rPr>
      <w:tab/>
    </w:r>
    <w:r w:rsidRPr="006316D2">
      <w:rPr>
        <w:color w:val="002060"/>
        <w:sz w:val="20"/>
        <w:szCs w:val="20"/>
      </w:rPr>
      <w:fldChar w:fldCharType="begin"/>
    </w:r>
    <w:r w:rsidRPr="006316D2">
      <w:rPr>
        <w:color w:val="002060"/>
        <w:sz w:val="20"/>
        <w:szCs w:val="20"/>
      </w:rPr>
      <w:instrText xml:space="preserve"> PAGE   \* MERGEFORMAT </w:instrText>
    </w:r>
    <w:r w:rsidRPr="006316D2">
      <w:rPr>
        <w:color w:val="002060"/>
        <w:sz w:val="20"/>
        <w:szCs w:val="20"/>
      </w:rPr>
      <w:fldChar w:fldCharType="separate"/>
    </w:r>
    <w:r w:rsidR="00277036">
      <w:rPr>
        <w:noProof/>
        <w:color w:val="002060"/>
        <w:sz w:val="20"/>
        <w:szCs w:val="20"/>
      </w:rPr>
      <w:t>16</w:t>
    </w:r>
    <w:r w:rsidRPr="006316D2">
      <w:rPr>
        <w:color w:val="002060"/>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002060"/>
        <w:sz w:val="20"/>
        <w:szCs w:val="20"/>
      </w:rPr>
      <w:id w:val="-489643092"/>
      <w:docPartObj>
        <w:docPartGallery w:val="Page Numbers (Bottom of Page)"/>
        <w:docPartUnique/>
      </w:docPartObj>
    </w:sdtPr>
    <w:sdtEndPr>
      <w:rPr>
        <w:noProof/>
      </w:rPr>
    </w:sdtEndPr>
    <w:sdtContent>
      <w:p w14:paraId="2238B823" w14:textId="77777777" w:rsidR="00A03A05" w:rsidRPr="005D5405" w:rsidRDefault="00A03A05" w:rsidP="009343C1">
        <w:pPr>
          <w:pStyle w:val="Footer"/>
          <w:rPr>
            <w:color w:val="002060"/>
            <w:sz w:val="20"/>
            <w:szCs w:val="20"/>
          </w:rPr>
        </w:pPr>
        <w:r w:rsidRPr="005D5405">
          <w:rPr>
            <w:color w:val="002060"/>
            <w:sz w:val="20"/>
            <w:szCs w:val="20"/>
          </w:rPr>
          <w:t>Health and Disability Services Complaints Office 2017-18 Annual Report</w:t>
        </w:r>
        <w:r w:rsidRPr="005D5405">
          <w:rPr>
            <w:color w:val="002060"/>
            <w:sz w:val="20"/>
            <w:szCs w:val="20"/>
          </w:rPr>
          <w:tab/>
        </w:r>
        <w:r w:rsidRPr="005D5405">
          <w:rPr>
            <w:color w:val="002060"/>
            <w:sz w:val="20"/>
            <w:szCs w:val="20"/>
          </w:rPr>
          <w:fldChar w:fldCharType="begin"/>
        </w:r>
        <w:r w:rsidRPr="005D5405">
          <w:rPr>
            <w:color w:val="002060"/>
            <w:sz w:val="20"/>
            <w:szCs w:val="20"/>
          </w:rPr>
          <w:instrText xml:space="preserve"> PAGE   \* MERGEFORMAT </w:instrText>
        </w:r>
        <w:r w:rsidRPr="005D5405">
          <w:rPr>
            <w:color w:val="002060"/>
            <w:sz w:val="20"/>
            <w:szCs w:val="20"/>
          </w:rPr>
          <w:fldChar w:fldCharType="separate"/>
        </w:r>
        <w:r w:rsidR="00277036">
          <w:rPr>
            <w:noProof/>
            <w:color w:val="002060"/>
            <w:sz w:val="20"/>
            <w:szCs w:val="20"/>
          </w:rPr>
          <w:t>33</w:t>
        </w:r>
        <w:r w:rsidRPr="005D5405">
          <w:rPr>
            <w:color w:val="002060"/>
            <w:sz w:val="20"/>
            <w:szCs w:val="20"/>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CF6293" w14:textId="77777777" w:rsidR="00A03A05" w:rsidRDefault="00A03A05" w:rsidP="00F07F9E">
    <w:pPr>
      <w:pStyle w:val="Footer"/>
      <w:rPr>
        <w:color w:val="044C75"/>
        <w:sz w:val="20"/>
        <w:szCs w:val="20"/>
      </w:rPr>
    </w:pPr>
  </w:p>
  <w:p w14:paraId="3F058595" w14:textId="77777777" w:rsidR="00A03A05" w:rsidRPr="00660F88" w:rsidRDefault="00A03A05" w:rsidP="00F07F9E">
    <w:pPr>
      <w:pStyle w:val="Footer"/>
      <w:rPr>
        <w:sz w:val="20"/>
        <w:szCs w:val="20"/>
      </w:rPr>
    </w:pPr>
    <w:r w:rsidRPr="0091200F">
      <w:rPr>
        <w:color w:val="002060"/>
        <w:sz w:val="20"/>
        <w:szCs w:val="20"/>
      </w:rPr>
      <w:t xml:space="preserve">Health and Disability Services Complaints Office 2017-18 Annual Report </w:t>
    </w:r>
    <w:r w:rsidRPr="00660F88">
      <w:rPr>
        <w:sz w:val="20"/>
        <w:szCs w:val="20"/>
      </w:rPr>
      <w:tab/>
    </w:r>
    <w:r w:rsidRPr="00F0502E">
      <w:rPr>
        <w:color w:val="002060"/>
        <w:sz w:val="20"/>
        <w:szCs w:val="20"/>
      </w:rPr>
      <w:fldChar w:fldCharType="begin"/>
    </w:r>
    <w:r w:rsidRPr="00F0502E">
      <w:rPr>
        <w:color w:val="002060"/>
        <w:sz w:val="20"/>
        <w:szCs w:val="20"/>
      </w:rPr>
      <w:instrText xml:space="preserve"> PAGE   \* MERGEFORMAT </w:instrText>
    </w:r>
    <w:r w:rsidRPr="00F0502E">
      <w:rPr>
        <w:color w:val="002060"/>
        <w:sz w:val="20"/>
        <w:szCs w:val="20"/>
      </w:rPr>
      <w:fldChar w:fldCharType="separate"/>
    </w:r>
    <w:r w:rsidR="00277036">
      <w:rPr>
        <w:noProof/>
        <w:color w:val="002060"/>
        <w:sz w:val="20"/>
        <w:szCs w:val="20"/>
      </w:rPr>
      <w:t>32</w:t>
    </w:r>
    <w:r w:rsidRPr="00F0502E">
      <w:rPr>
        <w:color w:val="002060"/>
        <w:sz w:val="20"/>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002060"/>
        <w:sz w:val="20"/>
        <w:szCs w:val="20"/>
      </w:rPr>
      <w:id w:val="-1312861809"/>
      <w:docPartObj>
        <w:docPartGallery w:val="Page Numbers (Bottom of Page)"/>
        <w:docPartUnique/>
      </w:docPartObj>
    </w:sdtPr>
    <w:sdtEndPr>
      <w:rPr>
        <w:noProof/>
      </w:rPr>
    </w:sdtEndPr>
    <w:sdtContent>
      <w:p w14:paraId="30EE691D" w14:textId="77777777" w:rsidR="00A03A05" w:rsidRPr="005D5405" w:rsidRDefault="00A03A05" w:rsidP="009343C1">
        <w:pPr>
          <w:pStyle w:val="Footer"/>
          <w:rPr>
            <w:color w:val="002060"/>
            <w:sz w:val="20"/>
            <w:szCs w:val="20"/>
          </w:rPr>
        </w:pPr>
        <w:r w:rsidRPr="005D5405">
          <w:rPr>
            <w:color w:val="002060"/>
            <w:sz w:val="20"/>
            <w:szCs w:val="20"/>
          </w:rPr>
          <w:t>Health and Disability Services Complaints Office 2017-18 Annual Report</w:t>
        </w:r>
        <w:r w:rsidRPr="005D5405">
          <w:rPr>
            <w:color w:val="002060"/>
            <w:sz w:val="20"/>
            <w:szCs w:val="20"/>
          </w:rPr>
          <w:tab/>
        </w:r>
        <w:r w:rsidRPr="005D5405">
          <w:rPr>
            <w:color w:val="002060"/>
            <w:sz w:val="20"/>
            <w:szCs w:val="20"/>
          </w:rPr>
          <w:fldChar w:fldCharType="begin"/>
        </w:r>
        <w:r w:rsidRPr="005D5405">
          <w:rPr>
            <w:color w:val="002060"/>
            <w:sz w:val="20"/>
            <w:szCs w:val="20"/>
          </w:rPr>
          <w:instrText xml:space="preserve"> PAGE   \* MERGEFORMAT </w:instrText>
        </w:r>
        <w:r w:rsidRPr="005D5405">
          <w:rPr>
            <w:color w:val="002060"/>
            <w:sz w:val="20"/>
            <w:szCs w:val="20"/>
          </w:rPr>
          <w:fldChar w:fldCharType="separate"/>
        </w:r>
        <w:r w:rsidR="00277036">
          <w:rPr>
            <w:noProof/>
            <w:color w:val="002060"/>
            <w:sz w:val="20"/>
            <w:szCs w:val="20"/>
          </w:rPr>
          <w:t>43</w:t>
        </w:r>
        <w:r w:rsidRPr="005D5405">
          <w:rPr>
            <w:color w:val="002060"/>
            <w:sz w:val="20"/>
            <w:szCs w:val="20"/>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9C9CF5" w14:textId="77777777" w:rsidR="00A03A05" w:rsidRDefault="00A03A05" w:rsidP="00F07F9E">
    <w:pPr>
      <w:pStyle w:val="Footer"/>
      <w:rPr>
        <w:color w:val="044C75"/>
        <w:sz w:val="20"/>
        <w:szCs w:val="20"/>
      </w:rPr>
    </w:pPr>
  </w:p>
  <w:p w14:paraId="413E1E33" w14:textId="77777777" w:rsidR="00A03A05" w:rsidRPr="005D5405" w:rsidRDefault="00A03A05" w:rsidP="00F07F9E">
    <w:pPr>
      <w:pStyle w:val="Footer"/>
      <w:rPr>
        <w:color w:val="002060"/>
        <w:sz w:val="20"/>
        <w:szCs w:val="20"/>
      </w:rPr>
    </w:pPr>
    <w:r w:rsidRPr="005D5405">
      <w:rPr>
        <w:color w:val="002060"/>
        <w:sz w:val="20"/>
        <w:szCs w:val="20"/>
      </w:rPr>
      <w:t xml:space="preserve">Health and Disability Services Complaints Office 2017-18 Annual Report </w:t>
    </w:r>
    <w:r w:rsidRPr="005D5405">
      <w:rPr>
        <w:color w:val="002060"/>
        <w:sz w:val="20"/>
        <w:szCs w:val="20"/>
      </w:rPr>
      <w:tab/>
    </w:r>
    <w:r w:rsidRPr="005D5405">
      <w:rPr>
        <w:color w:val="002060"/>
        <w:sz w:val="20"/>
        <w:szCs w:val="20"/>
      </w:rPr>
      <w:fldChar w:fldCharType="begin"/>
    </w:r>
    <w:r w:rsidRPr="005D5405">
      <w:rPr>
        <w:color w:val="002060"/>
        <w:sz w:val="20"/>
        <w:szCs w:val="20"/>
      </w:rPr>
      <w:instrText xml:space="preserve"> PAGE   \* MERGEFORMAT </w:instrText>
    </w:r>
    <w:r w:rsidRPr="005D5405">
      <w:rPr>
        <w:color w:val="002060"/>
        <w:sz w:val="20"/>
        <w:szCs w:val="20"/>
      </w:rPr>
      <w:fldChar w:fldCharType="separate"/>
    </w:r>
    <w:r>
      <w:rPr>
        <w:noProof/>
        <w:color w:val="002060"/>
        <w:sz w:val="20"/>
        <w:szCs w:val="20"/>
      </w:rPr>
      <w:t>36</w:t>
    </w:r>
    <w:r w:rsidRPr="005D5405">
      <w:rPr>
        <w:color w:val="002060"/>
        <w:sz w:val="20"/>
        <w:szCs w:val="20"/>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002060"/>
        <w:sz w:val="20"/>
        <w:szCs w:val="20"/>
      </w:rPr>
      <w:id w:val="93919781"/>
      <w:docPartObj>
        <w:docPartGallery w:val="Page Numbers (Bottom of Page)"/>
        <w:docPartUnique/>
      </w:docPartObj>
    </w:sdtPr>
    <w:sdtEndPr>
      <w:rPr>
        <w:noProof/>
      </w:rPr>
    </w:sdtEndPr>
    <w:sdtContent>
      <w:p w14:paraId="57446D61" w14:textId="77777777" w:rsidR="00A03A05" w:rsidRPr="005D5405" w:rsidRDefault="00A03A05" w:rsidP="009343C1">
        <w:pPr>
          <w:pStyle w:val="Footer"/>
          <w:rPr>
            <w:color w:val="002060"/>
            <w:sz w:val="20"/>
            <w:szCs w:val="20"/>
          </w:rPr>
        </w:pPr>
        <w:r w:rsidRPr="005D5405">
          <w:rPr>
            <w:color w:val="002060"/>
            <w:sz w:val="20"/>
            <w:szCs w:val="20"/>
          </w:rPr>
          <w:t>Health and Disability Services Complaints Office 2017-18 Annual Report</w:t>
        </w:r>
        <w:r w:rsidRPr="005D5405">
          <w:rPr>
            <w:color w:val="002060"/>
            <w:sz w:val="20"/>
            <w:szCs w:val="20"/>
          </w:rPr>
          <w:tab/>
        </w:r>
        <w:r w:rsidRPr="005D5405">
          <w:rPr>
            <w:color w:val="002060"/>
            <w:sz w:val="20"/>
            <w:szCs w:val="20"/>
          </w:rPr>
          <w:fldChar w:fldCharType="begin"/>
        </w:r>
        <w:r w:rsidRPr="005D5405">
          <w:rPr>
            <w:color w:val="002060"/>
            <w:sz w:val="20"/>
            <w:szCs w:val="20"/>
          </w:rPr>
          <w:instrText xml:space="preserve"> PAGE   \* MERGEFORMAT </w:instrText>
        </w:r>
        <w:r w:rsidRPr="005D5405">
          <w:rPr>
            <w:color w:val="002060"/>
            <w:sz w:val="20"/>
            <w:szCs w:val="20"/>
          </w:rPr>
          <w:fldChar w:fldCharType="separate"/>
        </w:r>
        <w:r w:rsidR="00277036">
          <w:rPr>
            <w:noProof/>
            <w:color w:val="002060"/>
            <w:sz w:val="20"/>
            <w:szCs w:val="20"/>
          </w:rPr>
          <w:t>68</w:t>
        </w:r>
        <w:r w:rsidRPr="005D5405">
          <w:rPr>
            <w:color w:val="002060"/>
            <w:sz w:val="20"/>
            <w:szCs w:val="20"/>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5132E7" w14:textId="77777777" w:rsidR="00A03A05" w:rsidRDefault="00A03A05" w:rsidP="00F07F9E">
    <w:pPr>
      <w:pStyle w:val="Footer"/>
      <w:rPr>
        <w:color w:val="044C75"/>
        <w:sz w:val="20"/>
        <w:szCs w:val="20"/>
      </w:rPr>
    </w:pPr>
  </w:p>
  <w:p w14:paraId="021AA8A8" w14:textId="77777777" w:rsidR="00A03A05" w:rsidRPr="00660F88" w:rsidRDefault="00A03A05" w:rsidP="00F07F9E">
    <w:pPr>
      <w:pStyle w:val="Footer"/>
      <w:rPr>
        <w:sz w:val="20"/>
        <w:szCs w:val="20"/>
      </w:rPr>
    </w:pPr>
    <w:r w:rsidRPr="00973DF5">
      <w:rPr>
        <w:color w:val="002060"/>
        <w:sz w:val="20"/>
        <w:szCs w:val="20"/>
      </w:rPr>
      <w:t xml:space="preserve">Health and Disability Services Complaints Office 2017-18 Annual Report </w:t>
    </w:r>
    <w:r w:rsidRPr="00660F88">
      <w:rPr>
        <w:sz w:val="20"/>
        <w:szCs w:val="20"/>
      </w:rPr>
      <w:tab/>
    </w:r>
    <w:r w:rsidRPr="00F0502E">
      <w:rPr>
        <w:color w:val="002060"/>
        <w:sz w:val="20"/>
        <w:szCs w:val="20"/>
      </w:rPr>
      <w:fldChar w:fldCharType="begin"/>
    </w:r>
    <w:r w:rsidRPr="00F0502E">
      <w:rPr>
        <w:color w:val="002060"/>
        <w:sz w:val="20"/>
        <w:szCs w:val="20"/>
      </w:rPr>
      <w:instrText xml:space="preserve"> PAGE   \* MERGEFORMAT </w:instrText>
    </w:r>
    <w:r w:rsidRPr="00F0502E">
      <w:rPr>
        <w:color w:val="002060"/>
        <w:sz w:val="20"/>
        <w:szCs w:val="20"/>
      </w:rPr>
      <w:fldChar w:fldCharType="separate"/>
    </w:r>
    <w:r w:rsidR="00277036">
      <w:rPr>
        <w:noProof/>
        <w:color w:val="002060"/>
        <w:sz w:val="20"/>
        <w:szCs w:val="20"/>
      </w:rPr>
      <w:t>65</w:t>
    </w:r>
    <w:r w:rsidRPr="00F0502E">
      <w:rPr>
        <w:color w:val="002060"/>
        <w:sz w:val="20"/>
        <w:szCs w:val="20"/>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002060"/>
        <w:sz w:val="20"/>
        <w:szCs w:val="20"/>
      </w:rPr>
      <w:id w:val="-1032194283"/>
      <w:docPartObj>
        <w:docPartGallery w:val="Page Numbers (Bottom of Page)"/>
        <w:docPartUnique/>
      </w:docPartObj>
    </w:sdtPr>
    <w:sdtEndPr>
      <w:rPr>
        <w:noProof/>
      </w:rPr>
    </w:sdtEndPr>
    <w:sdtContent>
      <w:p w14:paraId="1C318E8F" w14:textId="3A37239D" w:rsidR="003C312E" w:rsidRPr="00277036" w:rsidRDefault="00277036" w:rsidP="009A3269">
        <w:pPr>
          <w:pStyle w:val="Footer"/>
          <w:rPr>
            <w:color w:val="002060"/>
            <w:sz w:val="20"/>
            <w:szCs w:val="20"/>
          </w:rPr>
        </w:pPr>
        <w:r w:rsidRPr="005D5405">
          <w:rPr>
            <w:color w:val="002060"/>
            <w:sz w:val="20"/>
            <w:szCs w:val="20"/>
          </w:rPr>
          <w:t>Health and Disability Services Complaints Office 2017-18 Annual Report</w:t>
        </w:r>
        <w:r w:rsidRPr="005D5405">
          <w:rPr>
            <w:color w:val="002060"/>
            <w:sz w:val="20"/>
            <w:szCs w:val="20"/>
          </w:rPr>
          <w:tab/>
        </w:r>
        <w:r w:rsidRPr="005D5405">
          <w:rPr>
            <w:color w:val="002060"/>
            <w:sz w:val="20"/>
            <w:szCs w:val="20"/>
          </w:rPr>
          <w:fldChar w:fldCharType="begin"/>
        </w:r>
        <w:r w:rsidRPr="005D5405">
          <w:rPr>
            <w:color w:val="002060"/>
            <w:sz w:val="20"/>
            <w:szCs w:val="20"/>
          </w:rPr>
          <w:instrText xml:space="preserve"> PAGE   \* MERGEFORMAT </w:instrText>
        </w:r>
        <w:r w:rsidRPr="005D5405">
          <w:rPr>
            <w:color w:val="002060"/>
            <w:sz w:val="20"/>
            <w:szCs w:val="20"/>
          </w:rPr>
          <w:fldChar w:fldCharType="separate"/>
        </w:r>
        <w:r>
          <w:rPr>
            <w:noProof/>
            <w:color w:val="002060"/>
            <w:sz w:val="20"/>
            <w:szCs w:val="20"/>
          </w:rPr>
          <w:t>77</w:t>
        </w:r>
        <w:r w:rsidRPr="005D5405">
          <w:rPr>
            <w:color w:val="002060"/>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7D73B7" w14:textId="77777777" w:rsidR="00A03A05" w:rsidRDefault="00A03A05" w:rsidP="00AD62C6">
      <w:r>
        <w:separator/>
      </w:r>
    </w:p>
  </w:footnote>
  <w:footnote w:type="continuationSeparator" w:id="0">
    <w:p w14:paraId="120ABDE4" w14:textId="77777777" w:rsidR="00A03A05" w:rsidRDefault="00A03A05" w:rsidP="00AD62C6">
      <w:r>
        <w:continuationSeparator/>
      </w:r>
    </w:p>
  </w:footnote>
  <w:footnote w:id="1">
    <w:p w14:paraId="1C26DA79" w14:textId="77777777" w:rsidR="00A03A05" w:rsidRPr="00103561" w:rsidRDefault="00A03A05" w:rsidP="00114CFC">
      <w:pPr>
        <w:pStyle w:val="FootnoteText"/>
        <w:rPr>
          <w:sz w:val="18"/>
          <w:szCs w:val="18"/>
        </w:rPr>
      </w:pPr>
      <w:r w:rsidRPr="00B57386">
        <w:rPr>
          <w:rStyle w:val="FootnoteReference"/>
          <w:sz w:val="18"/>
          <w:szCs w:val="18"/>
        </w:rPr>
        <w:footnoteRef/>
      </w:r>
      <w:r w:rsidRPr="00B57386">
        <w:rPr>
          <w:sz w:val="18"/>
          <w:szCs w:val="18"/>
        </w:rPr>
        <w:t xml:space="preserve"> As per 2017 estimated residential population (ERP) data published by the Australian Bureau of Statistics</w:t>
      </w:r>
      <w:r>
        <w:rPr>
          <w:sz w:val="18"/>
          <w:szCs w:val="18"/>
        </w:rPr>
        <w:t xml:space="preserve"> (ABS)</w:t>
      </w:r>
      <w:r w:rsidRPr="00B57386">
        <w:rPr>
          <w:sz w:val="18"/>
          <w:szCs w:val="18"/>
        </w:rPr>
        <w:t>.</w:t>
      </w:r>
    </w:p>
  </w:footnote>
  <w:footnote w:id="2">
    <w:p w14:paraId="38E300E7" w14:textId="77777777" w:rsidR="00A03A05" w:rsidRPr="001504DC" w:rsidRDefault="00A03A05" w:rsidP="00CB1C88">
      <w:pPr>
        <w:pStyle w:val="FootnoteText"/>
        <w:rPr>
          <w:sz w:val="18"/>
          <w:szCs w:val="18"/>
        </w:rPr>
      </w:pPr>
      <w:r w:rsidRPr="001504DC">
        <w:rPr>
          <w:rStyle w:val="FootnoteReference"/>
          <w:sz w:val="18"/>
          <w:szCs w:val="18"/>
        </w:rPr>
        <w:footnoteRef/>
      </w:r>
      <w:r w:rsidRPr="001504DC">
        <w:rPr>
          <w:sz w:val="18"/>
          <w:szCs w:val="18"/>
        </w:rPr>
        <w:t xml:space="preserve"> The methodology used to calculate the proportion of complaints that identified a given issue category has been revised in 2017-18 and applied to historical data for 2016-17 and 2015-16.</w:t>
      </w:r>
    </w:p>
  </w:footnote>
  <w:footnote w:id="3">
    <w:p w14:paraId="61EC1DAA" w14:textId="77777777" w:rsidR="00A03A05" w:rsidRDefault="00A03A05" w:rsidP="009D5468">
      <w:pPr>
        <w:pStyle w:val="FootnoteText"/>
      </w:pPr>
      <w:r>
        <w:rPr>
          <w:rStyle w:val="FootnoteReference"/>
        </w:rPr>
        <w:footnoteRef/>
      </w:r>
      <w:r>
        <w:t xml:space="preserve"> </w:t>
      </w:r>
      <w:r w:rsidRPr="001504DC">
        <w:rPr>
          <w:sz w:val="18"/>
          <w:szCs w:val="18"/>
        </w:rPr>
        <w:t>The methodology used to calculate the proportion of complaints that identified a given issue category has been revised in 2017-18 and applied to historical data for 2016-17 and 2015-16.</w:t>
      </w:r>
    </w:p>
  </w:footnote>
  <w:footnote w:id="4">
    <w:p w14:paraId="24AA8BED" w14:textId="77777777" w:rsidR="00A03A05" w:rsidRPr="003968AE" w:rsidRDefault="00A03A05" w:rsidP="002B0289">
      <w:pPr>
        <w:pStyle w:val="FootnoteText"/>
        <w:rPr>
          <w:sz w:val="18"/>
          <w:szCs w:val="18"/>
        </w:rPr>
      </w:pPr>
      <w:r w:rsidRPr="003968AE">
        <w:rPr>
          <w:rStyle w:val="FootnoteReference"/>
          <w:sz w:val="18"/>
          <w:szCs w:val="18"/>
        </w:rPr>
        <w:footnoteRef/>
      </w:r>
      <w:r w:rsidRPr="003968AE">
        <w:rPr>
          <w:sz w:val="18"/>
          <w:szCs w:val="18"/>
        </w:rPr>
        <w:t xml:space="preserve"> In 2015-16 HaDSCO made changes to the way issues raised in mental health complaints are categorised. This change was implemented in March 2016. As a result of this change, the data presented in Figure 37 for 2015-16 relates only to the mental health complaints closed between March 2016 and June 2016 (n=82).</w:t>
      </w:r>
    </w:p>
  </w:footnote>
  <w:footnote w:id="5">
    <w:p w14:paraId="3DC6BA3F" w14:textId="77777777" w:rsidR="00A03A05" w:rsidRDefault="00A03A05" w:rsidP="002B0289">
      <w:pPr>
        <w:pStyle w:val="FootnoteText"/>
      </w:pPr>
      <w:r w:rsidRPr="003968AE">
        <w:rPr>
          <w:rStyle w:val="FootnoteReference"/>
          <w:sz w:val="18"/>
          <w:szCs w:val="18"/>
        </w:rPr>
        <w:footnoteRef/>
      </w:r>
      <w:r w:rsidRPr="003968AE">
        <w:rPr>
          <w:sz w:val="18"/>
          <w:szCs w:val="18"/>
        </w:rPr>
        <w:t xml:space="preserve"> The methodology used to calculate the proportion of complaints that identified a given issue category has been revised in 2017-18 and applied to historical data for 2016-17 and 2015-16.</w:t>
      </w:r>
    </w:p>
  </w:footnote>
  <w:footnote w:id="6">
    <w:p w14:paraId="70D5E691" w14:textId="77777777" w:rsidR="00A03A05" w:rsidRPr="0030164A" w:rsidRDefault="00A03A05" w:rsidP="005D5405">
      <w:pPr>
        <w:pStyle w:val="FootnoteText"/>
        <w:rPr>
          <w:sz w:val="16"/>
          <w:szCs w:val="16"/>
        </w:rPr>
      </w:pPr>
      <w:r w:rsidRPr="0030164A">
        <w:rPr>
          <w:rStyle w:val="FootnoteReference"/>
        </w:rPr>
        <w:footnoteRef/>
      </w:r>
      <w:r w:rsidRPr="0030164A">
        <w:rPr>
          <w:sz w:val="16"/>
          <w:szCs w:val="16"/>
        </w:rPr>
        <w:t xml:space="preserve"> The public health service providers</w:t>
      </w:r>
      <w:r>
        <w:rPr>
          <w:sz w:val="16"/>
          <w:szCs w:val="16"/>
        </w:rPr>
        <w:t xml:space="preserve"> are:</w:t>
      </w:r>
      <w:r w:rsidRPr="0030164A">
        <w:rPr>
          <w:sz w:val="16"/>
          <w:szCs w:val="16"/>
        </w:rPr>
        <w:t xml:space="preserve"> Child and Adolescent Health Service, East Metropolitan Health Service, North </w:t>
      </w:r>
      <w:r>
        <w:rPr>
          <w:sz w:val="16"/>
          <w:szCs w:val="16"/>
        </w:rPr>
        <w:t>Metropolitan Health Service,</w:t>
      </w:r>
      <w:r w:rsidRPr="0030164A">
        <w:rPr>
          <w:sz w:val="16"/>
          <w:szCs w:val="16"/>
        </w:rPr>
        <w:t xml:space="preserve"> South Metropolitan Health Service</w:t>
      </w:r>
      <w:r>
        <w:rPr>
          <w:sz w:val="16"/>
          <w:szCs w:val="16"/>
        </w:rPr>
        <w:t xml:space="preserve"> and </w:t>
      </w:r>
      <w:r w:rsidRPr="0030164A">
        <w:rPr>
          <w:sz w:val="16"/>
          <w:szCs w:val="16"/>
        </w:rPr>
        <w:t>Western Au</w:t>
      </w:r>
      <w:r>
        <w:rPr>
          <w:sz w:val="16"/>
          <w:szCs w:val="16"/>
        </w:rPr>
        <w:t>stralian Country Health Service.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E50419" w14:textId="054049A4" w:rsidR="00A03A05" w:rsidRPr="004C0A23" w:rsidRDefault="00A03A05" w:rsidP="002C1EB8">
    <w:pPr>
      <w:pStyle w:val="Title"/>
      <w:jc w:val="right"/>
      <w:rPr>
        <w:sz w:val="48"/>
        <w:szCs w:val="48"/>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BC6A63" w14:textId="5F8C7090" w:rsidR="00A03A05" w:rsidRPr="004C0A23" w:rsidRDefault="00A03A05" w:rsidP="002C1EB8">
    <w:pPr>
      <w:pStyle w:val="Title"/>
      <w:jc w:val="right"/>
      <w:rPr>
        <w:sz w:val="48"/>
        <w:szCs w:val="4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62BCED" w14:textId="494A9472" w:rsidR="00A03A05" w:rsidRDefault="00A03A0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37DC81" w14:textId="4D2DB101" w:rsidR="00A03A05" w:rsidRDefault="00A03A0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AEEDEF" w14:textId="2857BF17" w:rsidR="00A03A05" w:rsidRPr="004C0A23" w:rsidRDefault="00A03A05" w:rsidP="002C1EB8">
    <w:pPr>
      <w:pStyle w:val="Title"/>
      <w:jc w:val="right"/>
      <w:rPr>
        <w:sz w:val="48"/>
        <w:szCs w:val="48"/>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4DD9EF" w14:textId="424BDF30" w:rsidR="00A03A05" w:rsidRDefault="00A03A05">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7D9752" w14:textId="73BE1DDC" w:rsidR="00A03A05" w:rsidRDefault="00A03A05">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BE9A9D" w14:textId="6CEC5A2A" w:rsidR="00A03A05" w:rsidRPr="004C0A23" w:rsidRDefault="00A03A05" w:rsidP="002C1EB8">
    <w:pPr>
      <w:pStyle w:val="Title"/>
      <w:jc w:val="right"/>
      <w:rPr>
        <w:sz w:val="48"/>
        <w:szCs w:val="48"/>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1C2E4C" w14:textId="29C736E1" w:rsidR="00A03A05" w:rsidRDefault="00A03A0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DF714A" w14:textId="5A912529" w:rsidR="00A03A05" w:rsidRDefault="00A03A0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94784"/>
    <w:multiLevelType w:val="multilevel"/>
    <w:tmpl w:val="220A31B2"/>
    <w:lvl w:ilvl="0">
      <w:start w:val="1"/>
      <w:numFmt w:val="decimal"/>
      <w:pStyle w:val="Heading1"/>
      <w:lvlText w:val="%1."/>
      <w:lvlJc w:val="left"/>
      <w:pPr>
        <w:ind w:left="360" w:hanging="360"/>
      </w:pPr>
    </w:lvl>
    <w:lvl w:ilvl="1">
      <w:start w:val="1"/>
      <w:numFmt w:val="decimal"/>
      <w:lvlText w:val="%1.%2."/>
      <w:lvlJc w:val="left"/>
      <w:pPr>
        <w:ind w:left="716"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645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44B5EE2"/>
    <w:multiLevelType w:val="hybridMultilevel"/>
    <w:tmpl w:val="986CE448"/>
    <w:lvl w:ilvl="0" w:tplc="F4C02A02">
      <w:start w:val="1"/>
      <w:numFmt w:val="bullet"/>
      <w:lvlText w:val=""/>
      <w:lvlJc w:val="left"/>
      <w:pPr>
        <w:ind w:left="360" w:hanging="360"/>
      </w:pPr>
      <w:rPr>
        <w:rFonts w:ascii="Symbol" w:hAnsi="Symbol" w:hint="default"/>
      </w:rPr>
    </w:lvl>
    <w:lvl w:ilvl="1" w:tplc="0C090001">
      <w:start w:val="1"/>
      <w:numFmt w:val="bullet"/>
      <w:lvlText w:val=""/>
      <w:lvlJc w:val="left"/>
      <w:pPr>
        <w:ind w:left="1080" w:hanging="360"/>
      </w:pPr>
      <w:rPr>
        <w:rFonts w:ascii="Symbol" w:hAnsi="Symbo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nsid w:val="059B4982"/>
    <w:multiLevelType w:val="hybridMultilevel"/>
    <w:tmpl w:val="65CA89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7200F02"/>
    <w:multiLevelType w:val="hybridMultilevel"/>
    <w:tmpl w:val="CBB80918"/>
    <w:lvl w:ilvl="0" w:tplc="25A20D4C">
      <w:start w:val="1"/>
      <w:numFmt w:val="bullet"/>
      <w:lvlText w:val=""/>
      <w:lvlJc w:val="left"/>
      <w:pPr>
        <w:ind w:left="720" w:hanging="360"/>
      </w:pPr>
      <w:rPr>
        <w:rFonts w:ascii="Symbol" w:hAnsi="Symbol" w:hint="default"/>
        <w:color w:val="0070C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7836918"/>
    <w:multiLevelType w:val="multilevel"/>
    <w:tmpl w:val="280247C4"/>
    <w:lvl w:ilvl="0">
      <w:start w:val="3"/>
      <w:numFmt w:val="decimal"/>
      <w:lvlText w:val="%1."/>
      <w:lvlJc w:val="left"/>
      <w:pPr>
        <w:ind w:left="480" w:hanging="480"/>
      </w:pPr>
      <w:rPr>
        <w:rFonts w:hint="default"/>
        <w:sz w:val="28"/>
      </w:rPr>
    </w:lvl>
    <w:lvl w:ilvl="1">
      <w:start w:val="1"/>
      <w:numFmt w:val="decimal"/>
      <w:lvlText w:val="%1.%2."/>
      <w:lvlJc w:val="left"/>
      <w:pPr>
        <w:ind w:left="720" w:hanging="720"/>
      </w:pPr>
      <w:rPr>
        <w:rFonts w:hint="default"/>
        <w:color w:val="04356B"/>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160" w:hanging="2160"/>
      </w:pPr>
      <w:rPr>
        <w:rFonts w:hint="default"/>
        <w:sz w:val="28"/>
      </w:rPr>
    </w:lvl>
    <w:lvl w:ilvl="8">
      <w:start w:val="1"/>
      <w:numFmt w:val="decimal"/>
      <w:lvlText w:val="%1.%2.%3.%4.%5.%6.%7.%8.%9."/>
      <w:lvlJc w:val="left"/>
      <w:pPr>
        <w:ind w:left="2520" w:hanging="2520"/>
      </w:pPr>
      <w:rPr>
        <w:rFonts w:hint="default"/>
        <w:sz w:val="28"/>
      </w:rPr>
    </w:lvl>
  </w:abstractNum>
  <w:abstractNum w:abstractNumId="5">
    <w:nsid w:val="0E4C2F7D"/>
    <w:multiLevelType w:val="hybridMultilevel"/>
    <w:tmpl w:val="026C650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nsid w:val="13334B3A"/>
    <w:multiLevelType w:val="multilevel"/>
    <w:tmpl w:val="5C3E0966"/>
    <w:lvl w:ilvl="0">
      <w:start w:val="2"/>
      <w:numFmt w:val="decimal"/>
      <w:lvlText w:val="%1."/>
      <w:lvlJc w:val="left"/>
      <w:pPr>
        <w:ind w:left="480" w:hanging="48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
    <w:nsid w:val="13956B78"/>
    <w:multiLevelType w:val="hybridMultilevel"/>
    <w:tmpl w:val="A7D658F0"/>
    <w:lvl w:ilvl="0" w:tplc="914A44E8">
      <w:start w:val="1"/>
      <w:numFmt w:val="bullet"/>
      <w:lvlText w:val=""/>
      <w:lvlJc w:val="left"/>
      <w:pPr>
        <w:ind w:left="360" w:hanging="360"/>
      </w:pPr>
      <w:rPr>
        <w:rFonts w:ascii="Symbol" w:hAnsi="Symbol" w:hint="default"/>
        <w:color w:val="2487C4"/>
      </w:rPr>
    </w:lvl>
    <w:lvl w:ilvl="1" w:tplc="4254F8B0">
      <w:start w:val="1"/>
      <w:numFmt w:val="bullet"/>
      <w:pStyle w:val="Bullet2"/>
      <w:lvlText w:val=""/>
      <w:lvlJc w:val="left"/>
      <w:pPr>
        <w:ind w:left="4755" w:hanging="360"/>
      </w:pPr>
      <w:rPr>
        <w:rFonts w:ascii="Symbol" w:hAnsi="Symbol" w:hint="default"/>
        <w:color w:val="2487C4"/>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nsid w:val="15324E44"/>
    <w:multiLevelType w:val="hybridMultilevel"/>
    <w:tmpl w:val="818C61DE"/>
    <w:lvl w:ilvl="0" w:tplc="F4C02A02">
      <w:start w:val="1"/>
      <w:numFmt w:val="bullet"/>
      <w:pStyle w:val="Bullet1"/>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E2953A0"/>
    <w:multiLevelType w:val="hybridMultilevel"/>
    <w:tmpl w:val="CDA488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1FCF1099"/>
    <w:multiLevelType w:val="hybridMultilevel"/>
    <w:tmpl w:val="D7CC46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306F4198"/>
    <w:multiLevelType w:val="hybridMultilevel"/>
    <w:tmpl w:val="52D2AF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33003B01"/>
    <w:multiLevelType w:val="hybridMultilevel"/>
    <w:tmpl w:val="888A98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386D6FFB"/>
    <w:multiLevelType w:val="multilevel"/>
    <w:tmpl w:val="65B42CAC"/>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3FAD029A"/>
    <w:multiLevelType w:val="hybridMultilevel"/>
    <w:tmpl w:val="17CC75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420628EF"/>
    <w:multiLevelType w:val="multilevel"/>
    <w:tmpl w:val="D75453F0"/>
    <w:lvl w:ilvl="0">
      <w:start w:val="5"/>
      <w:numFmt w:val="decimal"/>
      <w:lvlText w:val="%1."/>
      <w:lvlJc w:val="left"/>
      <w:pPr>
        <w:ind w:left="480" w:hanging="480"/>
      </w:pPr>
      <w:rPr>
        <w:rFonts w:hint="default"/>
        <w:i w:val="0"/>
      </w:rPr>
    </w:lvl>
    <w:lvl w:ilvl="1">
      <w:start w:val="1"/>
      <w:numFmt w:val="decimal"/>
      <w:lvlText w:val="%1.%2."/>
      <w:lvlJc w:val="left"/>
      <w:pPr>
        <w:ind w:left="720" w:hanging="720"/>
      </w:pPr>
      <w:rPr>
        <w:rFonts w:hint="default"/>
        <w:i w:val="0"/>
        <w:color w:val="04356B"/>
      </w:rPr>
    </w:lvl>
    <w:lvl w:ilvl="2">
      <w:start w:val="1"/>
      <w:numFmt w:val="decimal"/>
      <w:lvlText w:val="%1.%2.%3."/>
      <w:lvlJc w:val="left"/>
      <w:pPr>
        <w:ind w:left="720" w:hanging="720"/>
      </w:pPr>
      <w:rPr>
        <w:rFonts w:hint="default"/>
        <w:i w:val="0"/>
      </w:rPr>
    </w:lvl>
    <w:lvl w:ilvl="3">
      <w:start w:val="1"/>
      <w:numFmt w:val="decimal"/>
      <w:lvlText w:val="%1.%2.%3.%4."/>
      <w:lvlJc w:val="left"/>
      <w:pPr>
        <w:ind w:left="1080" w:hanging="1080"/>
      </w:pPr>
      <w:rPr>
        <w:rFonts w:hint="default"/>
        <w:i w:val="0"/>
      </w:rPr>
    </w:lvl>
    <w:lvl w:ilvl="4">
      <w:start w:val="1"/>
      <w:numFmt w:val="decimal"/>
      <w:lvlText w:val="%1.%2.%3.%4.%5."/>
      <w:lvlJc w:val="left"/>
      <w:pPr>
        <w:ind w:left="1440" w:hanging="1440"/>
      </w:pPr>
      <w:rPr>
        <w:rFonts w:hint="default"/>
        <w:i w:val="0"/>
      </w:rPr>
    </w:lvl>
    <w:lvl w:ilvl="5">
      <w:start w:val="1"/>
      <w:numFmt w:val="decimal"/>
      <w:lvlText w:val="%1.%2.%3.%4.%5.%6."/>
      <w:lvlJc w:val="left"/>
      <w:pPr>
        <w:ind w:left="1440" w:hanging="1440"/>
      </w:pPr>
      <w:rPr>
        <w:rFonts w:hint="default"/>
        <w:i w:val="0"/>
      </w:rPr>
    </w:lvl>
    <w:lvl w:ilvl="6">
      <w:start w:val="1"/>
      <w:numFmt w:val="decimal"/>
      <w:lvlText w:val="%1.%2.%3.%4.%5.%6.%7."/>
      <w:lvlJc w:val="left"/>
      <w:pPr>
        <w:ind w:left="1800" w:hanging="1800"/>
      </w:pPr>
      <w:rPr>
        <w:rFonts w:hint="default"/>
        <w:i w:val="0"/>
      </w:rPr>
    </w:lvl>
    <w:lvl w:ilvl="7">
      <w:start w:val="1"/>
      <w:numFmt w:val="decimal"/>
      <w:lvlText w:val="%1.%2.%3.%4.%5.%6.%7.%8."/>
      <w:lvlJc w:val="left"/>
      <w:pPr>
        <w:ind w:left="2160" w:hanging="2160"/>
      </w:pPr>
      <w:rPr>
        <w:rFonts w:hint="default"/>
        <w:i w:val="0"/>
      </w:rPr>
    </w:lvl>
    <w:lvl w:ilvl="8">
      <w:start w:val="1"/>
      <w:numFmt w:val="decimal"/>
      <w:lvlText w:val="%1.%2.%3.%4.%5.%6.%7.%8.%9."/>
      <w:lvlJc w:val="left"/>
      <w:pPr>
        <w:ind w:left="2160" w:hanging="2160"/>
      </w:pPr>
      <w:rPr>
        <w:rFonts w:hint="default"/>
        <w:i w:val="0"/>
      </w:rPr>
    </w:lvl>
  </w:abstractNum>
  <w:abstractNum w:abstractNumId="16">
    <w:nsid w:val="43B00467"/>
    <w:multiLevelType w:val="multilevel"/>
    <w:tmpl w:val="D876BD5A"/>
    <w:lvl w:ilvl="0">
      <w:start w:val="1"/>
      <w:numFmt w:val="none"/>
      <w:lvlText w:val="2.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462947FA"/>
    <w:multiLevelType w:val="multilevel"/>
    <w:tmpl w:val="2C948ED8"/>
    <w:lvl w:ilvl="0">
      <w:start w:val="2"/>
      <w:numFmt w:val="decimal"/>
      <w:lvlText w:val="%1."/>
      <w:lvlJc w:val="left"/>
      <w:pPr>
        <w:ind w:left="480" w:hanging="480"/>
      </w:pPr>
      <w:rPr>
        <w:rFonts w:hint="default"/>
      </w:rPr>
    </w:lvl>
    <w:lvl w:ilvl="1">
      <w:start w:val="1"/>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nsid w:val="490346B4"/>
    <w:multiLevelType w:val="multilevel"/>
    <w:tmpl w:val="011CCD1C"/>
    <w:lvl w:ilvl="0">
      <w:start w:val="4"/>
      <w:numFmt w:val="decimal"/>
      <w:lvlText w:val="%1."/>
      <w:lvlJc w:val="left"/>
      <w:pPr>
        <w:ind w:left="480" w:hanging="480"/>
      </w:pPr>
      <w:rPr>
        <w:rFonts w:hint="default"/>
        <w:color w:val="04356B"/>
      </w:rPr>
    </w:lvl>
    <w:lvl w:ilvl="1">
      <w:start w:val="2"/>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nsid w:val="499C369F"/>
    <w:multiLevelType w:val="multilevel"/>
    <w:tmpl w:val="65B42CAC"/>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4E277175"/>
    <w:multiLevelType w:val="hybridMultilevel"/>
    <w:tmpl w:val="D08414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F262519"/>
    <w:multiLevelType w:val="hybridMultilevel"/>
    <w:tmpl w:val="0652E3B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nsid w:val="4F9017E9"/>
    <w:multiLevelType w:val="hybridMultilevel"/>
    <w:tmpl w:val="F86CFE4A"/>
    <w:lvl w:ilvl="0" w:tplc="61DA446E">
      <w:start w:val="1"/>
      <w:numFmt w:val="bullet"/>
      <w:lvlText w:val=""/>
      <w:lvlJc w:val="left"/>
      <w:pPr>
        <w:ind w:left="720" w:hanging="360"/>
      </w:pPr>
      <w:rPr>
        <w:rFonts w:ascii="Symbol" w:hAnsi="Symbol" w:hint="default"/>
        <w:sz w:val="20"/>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3">
    <w:nsid w:val="50451C0C"/>
    <w:multiLevelType w:val="multilevel"/>
    <w:tmpl w:val="4E323602"/>
    <w:lvl w:ilvl="0">
      <w:start w:val="4"/>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nsid w:val="51DB1166"/>
    <w:multiLevelType w:val="hybridMultilevel"/>
    <w:tmpl w:val="768A1C6E"/>
    <w:lvl w:ilvl="0" w:tplc="FFD88CDE">
      <w:start w:val="1"/>
      <w:numFmt w:val="decimal"/>
      <w:lvlText w:val="%1."/>
      <w:lvlJc w:val="left"/>
      <w:pPr>
        <w:tabs>
          <w:tab w:val="num" w:pos="720"/>
        </w:tabs>
        <w:ind w:left="720" w:hanging="360"/>
      </w:pPr>
    </w:lvl>
    <w:lvl w:ilvl="1" w:tplc="C9124D7A" w:tentative="1">
      <w:start w:val="1"/>
      <w:numFmt w:val="decimal"/>
      <w:lvlText w:val="%2."/>
      <w:lvlJc w:val="left"/>
      <w:pPr>
        <w:tabs>
          <w:tab w:val="num" w:pos="1440"/>
        </w:tabs>
        <w:ind w:left="1440" w:hanging="360"/>
      </w:pPr>
    </w:lvl>
    <w:lvl w:ilvl="2" w:tplc="AE766502" w:tentative="1">
      <w:start w:val="1"/>
      <w:numFmt w:val="decimal"/>
      <w:lvlText w:val="%3."/>
      <w:lvlJc w:val="left"/>
      <w:pPr>
        <w:tabs>
          <w:tab w:val="num" w:pos="2160"/>
        </w:tabs>
        <w:ind w:left="2160" w:hanging="360"/>
      </w:pPr>
    </w:lvl>
    <w:lvl w:ilvl="3" w:tplc="71FC59A6" w:tentative="1">
      <w:start w:val="1"/>
      <w:numFmt w:val="decimal"/>
      <w:lvlText w:val="%4."/>
      <w:lvlJc w:val="left"/>
      <w:pPr>
        <w:tabs>
          <w:tab w:val="num" w:pos="2880"/>
        </w:tabs>
        <w:ind w:left="2880" w:hanging="360"/>
      </w:pPr>
    </w:lvl>
    <w:lvl w:ilvl="4" w:tplc="B65A104A" w:tentative="1">
      <w:start w:val="1"/>
      <w:numFmt w:val="decimal"/>
      <w:lvlText w:val="%5."/>
      <w:lvlJc w:val="left"/>
      <w:pPr>
        <w:tabs>
          <w:tab w:val="num" w:pos="3600"/>
        </w:tabs>
        <w:ind w:left="3600" w:hanging="360"/>
      </w:pPr>
    </w:lvl>
    <w:lvl w:ilvl="5" w:tplc="53903252" w:tentative="1">
      <w:start w:val="1"/>
      <w:numFmt w:val="decimal"/>
      <w:lvlText w:val="%6."/>
      <w:lvlJc w:val="left"/>
      <w:pPr>
        <w:tabs>
          <w:tab w:val="num" w:pos="4320"/>
        </w:tabs>
        <w:ind w:left="4320" w:hanging="360"/>
      </w:pPr>
    </w:lvl>
    <w:lvl w:ilvl="6" w:tplc="FE3AA1E4" w:tentative="1">
      <w:start w:val="1"/>
      <w:numFmt w:val="decimal"/>
      <w:lvlText w:val="%7."/>
      <w:lvlJc w:val="left"/>
      <w:pPr>
        <w:tabs>
          <w:tab w:val="num" w:pos="5040"/>
        </w:tabs>
        <w:ind w:left="5040" w:hanging="360"/>
      </w:pPr>
    </w:lvl>
    <w:lvl w:ilvl="7" w:tplc="46DA9C96" w:tentative="1">
      <w:start w:val="1"/>
      <w:numFmt w:val="decimal"/>
      <w:lvlText w:val="%8."/>
      <w:lvlJc w:val="left"/>
      <w:pPr>
        <w:tabs>
          <w:tab w:val="num" w:pos="5760"/>
        </w:tabs>
        <w:ind w:left="5760" w:hanging="360"/>
      </w:pPr>
    </w:lvl>
    <w:lvl w:ilvl="8" w:tplc="A9D86AFC" w:tentative="1">
      <w:start w:val="1"/>
      <w:numFmt w:val="decimal"/>
      <w:lvlText w:val="%9."/>
      <w:lvlJc w:val="left"/>
      <w:pPr>
        <w:tabs>
          <w:tab w:val="num" w:pos="6480"/>
        </w:tabs>
        <w:ind w:left="6480" w:hanging="360"/>
      </w:pPr>
    </w:lvl>
  </w:abstractNum>
  <w:abstractNum w:abstractNumId="25">
    <w:nsid w:val="53A64BE6"/>
    <w:multiLevelType w:val="multilevel"/>
    <w:tmpl w:val="1AD0F71C"/>
    <w:lvl w:ilvl="0">
      <w:start w:val="1"/>
      <w:numFmt w:val="bullet"/>
      <w:lvlText w:val=""/>
      <w:lvlJc w:val="left"/>
      <w:pPr>
        <w:ind w:left="405" w:hanging="405"/>
      </w:pPr>
      <w:rPr>
        <w:rFonts w:ascii="Symbol" w:hAnsi="Symbol" w:hint="default"/>
      </w:rPr>
    </w:lvl>
    <w:lvl w:ilvl="1">
      <w:start w:val="2"/>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556974B2"/>
    <w:multiLevelType w:val="hybridMultilevel"/>
    <w:tmpl w:val="2E58512C"/>
    <w:lvl w:ilvl="0" w:tplc="0C090001">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57EB2795"/>
    <w:multiLevelType w:val="hybridMultilevel"/>
    <w:tmpl w:val="61346E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587D04EA"/>
    <w:multiLevelType w:val="hybridMultilevel"/>
    <w:tmpl w:val="8F7E4A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5B2F638D"/>
    <w:multiLevelType w:val="hybridMultilevel"/>
    <w:tmpl w:val="CE089B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5B534B98"/>
    <w:multiLevelType w:val="hybridMultilevel"/>
    <w:tmpl w:val="AFA00A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5B6B5A18"/>
    <w:multiLevelType w:val="hybridMultilevel"/>
    <w:tmpl w:val="875C3C02"/>
    <w:lvl w:ilvl="0" w:tplc="0C090001">
      <w:start w:val="1"/>
      <w:numFmt w:val="bullet"/>
      <w:lvlText w:val=""/>
      <w:lvlJc w:val="left"/>
      <w:pPr>
        <w:ind w:left="720" w:hanging="360"/>
      </w:pPr>
      <w:rPr>
        <w:rFonts w:ascii="Symbol" w:hAnsi="Symbol" w:hint="default"/>
      </w:rPr>
    </w:lvl>
    <w:lvl w:ilvl="1" w:tplc="770C95AC">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5C44651B"/>
    <w:multiLevelType w:val="hybridMultilevel"/>
    <w:tmpl w:val="1EA4F78E"/>
    <w:lvl w:ilvl="0" w:tplc="770C95AC">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5D6E1CDF"/>
    <w:multiLevelType w:val="hybridMultilevel"/>
    <w:tmpl w:val="7A28B570"/>
    <w:lvl w:ilvl="0" w:tplc="2982E69E">
      <w:start w:val="1"/>
      <w:numFmt w:val="decimal"/>
      <w:lvlText w:val="%1."/>
      <w:lvlJc w:val="left"/>
      <w:pPr>
        <w:tabs>
          <w:tab w:val="num" w:pos="720"/>
        </w:tabs>
        <w:ind w:left="720" w:hanging="360"/>
      </w:pPr>
    </w:lvl>
    <w:lvl w:ilvl="1" w:tplc="E59290DA" w:tentative="1">
      <w:start w:val="1"/>
      <w:numFmt w:val="decimal"/>
      <w:lvlText w:val="%2."/>
      <w:lvlJc w:val="left"/>
      <w:pPr>
        <w:tabs>
          <w:tab w:val="num" w:pos="1440"/>
        </w:tabs>
        <w:ind w:left="1440" w:hanging="360"/>
      </w:pPr>
    </w:lvl>
    <w:lvl w:ilvl="2" w:tplc="A394E40A" w:tentative="1">
      <w:start w:val="1"/>
      <w:numFmt w:val="decimal"/>
      <w:lvlText w:val="%3."/>
      <w:lvlJc w:val="left"/>
      <w:pPr>
        <w:tabs>
          <w:tab w:val="num" w:pos="2160"/>
        </w:tabs>
        <w:ind w:left="2160" w:hanging="360"/>
      </w:pPr>
    </w:lvl>
    <w:lvl w:ilvl="3" w:tplc="F1DADF54" w:tentative="1">
      <w:start w:val="1"/>
      <w:numFmt w:val="decimal"/>
      <w:lvlText w:val="%4."/>
      <w:lvlJc w:val="left"/>
      <w:pPr>
        <w:tabs>
          <w:tab w:val="num" w:pos="2880"/>
        </w:tabs>
        <w:ind w:left="2880" w:hanging="360"/>
      </w:pPr>
    </w:lvl>
    <w:lvl w:ilvl="4" w:tplc="546623D4" w:tentative="1">
      <w:start w:val="1"/>
      <w:numFmt w:val="decimal"/>
      <w:lvlText w:val="%5."/>
      <w:lvlJc w:val="left"/>
      <w:pPr>
        <w:tabs>
          <w:tab w:val="num" w:pos="3600"/>
        </w:tabs>
        <w:ind w:left="3600" w:hanging="360"/>
      </w:pPr>
    </w:lvl>
    <w:lvl w:ilvl="5" w:tplc="F438B28A" w:tentative="1">
      <w:start w:val="1"/>
      <w:numFmt w:val="decimal"/>
      <w:lvlText w:val="%6."/>
      <w:lvlJc w:val="left"/>
      <w:pPr>
        <w:tabs>
          <w:tab w:val="num" w:pos="4320"/>
        </w:tabs>
        <w:ind w:left="4320" w:hanging="360"/>
      </w:pPr>
    </w:lvl>
    <w:lvl w:ilvl="6" w:tplc="FFC239BE" w:tentative="1">
      <w:start w:val="1"/>
      <w:numFmt w:val="decimal"/>
      <w:lvlText w:val="%7."/>
      <w:lvlJc w:val="left"/>
      <w:pPr>
        <w:tabs>
          <w:tab w:val="num" w:pos="5040"/>
        </w:tabs>
        <w:ind w:left="5040" w:hanging="360"/>
      </w:pPr>
    </w:lvl>
    <w:lvl w:ilvl="7" w:tplc="BD9CAA88" w:tentative="1">
      <w:start w:val="1"/>
      <w:numFmt w:val="decimal"/>
      <w:lvlText w:val="%8."/>
      <w:lvlJc w:val="left"/>
      <w:pPr>
        <w:tabs>
          <w:tab w:val="num" w:pos="5760"/>
        </w:tabs>
        <w:ind w:left="5760" w:hanging="360"/>
      </w:pPr>
    </w:lvl>
    <w:lvl w:ilvl="8" w:tplc="B290C1C6" w:tentative="1">
      <w:start w:val="1"/>
      <w:numFmt w:val="decimal"/>
      <w:lvlText w:val="%9."/>
      <w:lvlJc w:val="left"/>
      <w:pPr>
        <w:tabs>
          <w:tab w:val="num" w:pos="6480"/>
        </w:tabs>
        <w:ind w:left="6480" w:hanging="360"/>
      </w:pPr>
    </w:lvl>
  </w:abstractNum>
  <w:abstractNum w:abstractNumId="34">
    <w:nsid w:val="5F0217B4"/>
    <w:multiLevelType w:val="multilevel"/>
    <w:tmpl w:val="39A033D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638938E9"/>
    <w:multiLevelType w:val="hybridMultilevel"/>
    <w:tmpl w:val="EFEAA8C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6">
    <w:nsid w:val="64F26BFF"/>
    <w:multiLevelType w:val="hybridMultilevel"/>
    <w:tmpl w:val="B1766CA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nsid w:val="66092266"/>
    <w:multiLevelType w:val="multilevel"/>
    <w:tmpl w:val="9318A5E2"/>
    <w:lvl w:ilvl="0">
      <w:start w:val="1"/>
      <w:numFmt w:val="bullet"/>
      <w:lvlText w:val=""/>
      <w:lvlJc w:val="left"/>
      <w:pPr>
        <w:ind w:left="405" w:hanging="405"/>
      </w:pPr>
      <w:rPr>
        <w:rFonts w:ascii="Symbol" w:hAnsi="Symbol" w:hint="default"/>
      </w:rPr>
    </w:lvl>
    <w:lvl w:ilvl="1">
      <w:start w:val="1"/>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6771370D"/>
    <w:multiLevelType w:val="hybridMultilevel"/>
    <w:tmpl w:val="380EE2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69B2301E"/>
    <w:multiLevelType w:val="hybridMultilevel"/>
    <w:tmpl w:val="62D6093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nsid w:val="6B822EC5"/>
    <w:multiLevelType w:val="hybridMultilevel"/>
    <w:tmpl w:val="EC2A9F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6BFE3A47"/>
    <w:multiLevelType w:val="hybridMultilevel"/>
    <w:tmpl w:val="0FACA4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6C774D8A"/>
    <w:multiLevelType w:val="hybridMultilevel"/>
    <w:tmpl w:val="CBDE9A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72265BEB"/>
    <w:multiLevelType w:val="hybridMultilevel"/>
    <w:tmpl w:val="0406AF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78896696"/>
    <w:multiLevelType w:val="multilevel"/>
    <w:tmpl w:val="ED6A9528"/>
    <w:lvl w:ilvl="0">
      <w:start w:val="2"/>
      <w:numFmt w:val="decimal"/>
      <w:lvlText w:val="%1."/>
      <w:lvlJc w:val="left"/>
      <w:pPr>
        <w:ind w:left="480" w:hanging="480"/>
      </w:pPr>
      <w:rPr>
        <w:rFonts w:hint="default"/>
      </w:rPr>
    </w:lvl>
    <w:lvl w:ilvl="1">
      <w:start w:val="8"/>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5">
    <w:nsid w:val="794D60BA"/>
    <w:multiLevelType w:val="hybridMultilevel"/>
    <w:tmpl w:val="03D8EB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7BAA74C2"/>
    <w:multiLevelType w:val="hybridMultilevel"/>
    <w:tmpl w:val="F1CCA364"/>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47">
    <w:nsid w:val="7EDB6921"/>
    <w:multiLevelType w:val="hybridMultilevel"/>
    <w:tmpl w:val="D4A8E2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7FAC505C"/>
    <w:multiLevelType w:val="hybridMultilevel"/>
    <w:tmpl w:val="54FCD4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7"/>
  </w:num>
  <w:num w:numId="4">
    <w:abstractNumId w:val="30"/>
  </w:num>
  <w:num w:numId="5">
    <w:abstractNumId w:val="47"/>
  </w:num>
  <w:num w:numId="6">
    <w:abstractNumId w:val="22"/>
  </w:num>
  <w:num w:numId="7">
    <w:abstractNumId w:val="31"/>
  </w:num>
  <w:num w:numId="8">
    <w:abstractNumId w:val="45"/>
  </w:num>
  <w:num w:numId="9">
    <w:abstractNumId w:val="48"/>
  </w:num>
  <w:num w:numId="10">
    <w:abstractNumId w:val="14"/>
  </w:num>
  <w:num w:numId="11">
    <w:abstractNumId w:val="40"/>
  </w:num>
  <w:num w:numId="12">
    <w:abstractNumId w:val="3"/>
  </w:num>
  <w:num w:numId="13">
    <w:abstractNumId w:val="41"/>
  </w:num>
  <w:num w:numId="14">
    <w:abstractNumId w:val="37"/>
  </w:num>
  <w:num w:numId="15">
    <w:abstractNumId w:val="37"/>
  </w:num>
  <w:num w:numId="16">
    <w:abstractNumId w:val="6"/>
  </w:num>
  <w:num w:numId="17">
    <w:abstractNumId w:val="4"/>
  </w:num>
  <w:num w:numId="18">
    <w:abstractNumId w:val="17"/>
  </w:num>
  <w:num w:numId="19">
    <w:abstractNumId w:val="2"/>
  </w:num>
  <w:num w:numId="20">
    <w:abstractNumId w:val="20"/>
  </w:num>
  <w:num w:numId="21">
    <w:abstractNumId w:val="35"/>
  </w:num>
  <w:num w:numId="22">
    <w:abstractNumId w:val="1"/>
  </w:num>
  <w:num w:numId="23">
    <w:abstractNumId w:val="28"/>
  </w:num>
  <w:num w:numId="24">
    <w:abstractNumId w:val="21"/>
  </w:num>
  <w:num w:numId="25">
    <w:abstractNumId w:val="32"/>
  </w:num>
  <w:num w:numId="26">
    <w:abstractNumId w:val="42"/>
  </w:num>
  <w:num w:numId="27">
    <w:abstractNumId w:val="23"/>
  </w:num>
  <w:num w:numId="28">
    <w:abstractNumId w:val="18"/>
  </w:num>
  <w:num w:numId="29">
    <w:abstractNumId w:val="15"/>
  </w:num>
  <w:num w:numId="30">
    <w:abstractNumId w:val="44"/>
  </w:num>
  <w:num w:numId="31">
    <w:abstractNumId w:val="34"/>
  </w:num>
  <w:num w:numId="32">
    <w:abstractNumId w:val="39"/>
  </w:num>
  <w:num w:numId="33">
    <w:abstractNumId w:val="16"/>
  </w:num>
  <w:num w:numId="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9"/>
  </w:num>
  <w:num w:numId="36">
    <w:abstractNumId w:val="13"/>
  </w:num>
  <w:num w:numId="37">
    <w:abstractNumId w:val="11"/>
  </w:num>
  <w:num w:numId="38">
    <w:abstractNumId w:val="43"/>
  </w:num>
  <w:num w:numId="39">
    <w:abstractNumId w:val="33"/>
  </w:num>
  <w:num w:numId="40">
    <w:abstractNumId w:val="24"/>
  </w:num>
  <w:num w:numId="41">
    <w:abstractNumId w:val="46"/>
  </w:num>
  <w:num w:numId="42">
    <w:abstractNumId w:val="27"/>
  </w:num>
  <w:num w:numId="43">
    <w:abstractNumId w:val="29"/>
  </w:num>
  <w:num w:numId="44">
    <w:abstractNumId w:val="38"/>
  </w:num>
  <w:num w:numId="45">
    <w:abstractNumId w:val="9"/>
  </w:num>
  <w:num w:numId="46">
    <w:abstractNumId w:val="37"/>
  </w:num>
  <w:num w:numId="47">
    <w:abstractNumId w:val="5"/>
  </w:num>
  <w:num w:numId="48">
    <w:abstractNumId w:val="36"/>
  </w:num>
  <w:num w:numId="49">
    <w:abstractNumId w:val="25"/>
  </w:num>
  <w:num w:numId="50">
    <w:abstractNumId w:val="12"/>
  </w:num>
  <w:num w:numId="51">
    <w:abstractNumId w:val="26"/>
  </w:num>
  <w:num w:numId="52">
    <w:abstractNumId w:val="0"/>
  </w:num>
  <w:num w:numId="53">
    <w:abstractNumId w:val="1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enza Robbins">
    <w15:presenceInfo w15:providerId="Windows Live" w15:userId="6ed06c9569f40d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defaultTabStop w:val="720"/>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763C"/>
    <w:rsid w:val="000004EA"/>
    <w:rsid w:val="000017E0"/>
    <w:rsid w:val="00003011"/>
    <w:rsid w:val="000031EF"/>
    <w:rsid w:val="00003DF1"/>
    <w:rsid w:val="0000642C"/>
    <w:rsid w:val="000065C4"/>
    <w:rsid w:val="00007255"/>
    <w:rsid w:val="00010C6E"/>
    <w:rsid w:val="000116F6"/>
    <w:rsid w:val="00012511"/>
    <w:rsid w:val="00012BC4"/>
    <w:rsid w:val="0001362D"/>
    <w:rsid w:val="00014D8F"/>
    <w:rsid w:val="0001656A"/>
    <w:rsid w:val="00016E3E"/>
    <w:rsid w:val="00017B63"/>
    <w:rsid w:val="000201B6"/>
    <w:rsid w:val="00020211"/>
    <w:rsid w:val="00020DA8"/>
    <w:rsid w:val="0002278E"/>
    <w:rsid w:val="00022DB6"/>
    <w:rsid w:val="00022FD0"/>
    <w:rsid w:val="00023110"/>
    <w:rsid w:val="000242F6"/>
    <w:rsid w:val="000245E8"/>
    <w:rsid w:val="0002539A"/>
    <w:rsid w:val="00025EBB"/>
    <w:rsid w:val="00027E78"/>
    <w:rsid w:val="00027E80"/>
    <w:rsid w:val="0003299D"/>
    <w:rsid w:val="000341B2"/>
    <w:rsid w:val="00035266"/>
    <w:rsid w:val="00036386"/>
    <w:rsid w:val="0003689B"/>
    <w:rsid w:val="00040188"/>
    <w:rsid w:val="000403E2"/>
    <w:rsid w:val="00040DC1"/>
    <w:rsid w:val="00041008"/>
    <w:rsid w:val="00042662"/>
    <w:rsid w:val="00043898"/>
    <w:rsid w:val="00043FF3"/>
    <w:rsid w:val="000458D4"/>
    <w:rsid w:val="00045B95"/>
    <w:rsid w:val="00047C68"/>
    <w:rsid w:val="00050010"/>
    <w:rsid w:val="00050291"/>
    <w:rsid w:val="00050447"/>
    <w:rsid w:val="000509E6"/>
    <w:rsid w:val="000510D4"/>
    <w:rsid w:val="00051283"/>
    <w:rsid w:val="0005204F"/>
    <w:rsid w:val="00053880"/>
    <w:rsid w:val="000552D4"/>
    <w:rsid w:val="000568E0"/>
    <w:rsid w:val="0005763C"/>
    <w:rsid w:val="00057E38"/>
    <w:rsid w:val="000607FA"/>
    <w:rsid w:val="00060A74"/>
    <w:rsid w:val="00062251"/>
    <w:rsid w:val="00063EC3"/>
    <w:rsid w:val="00064060"/>
    <w:rsid w:val="000656B7"/>
    <w:rsid w:val="00066A72"/>
    <w:rsid w:val="00067BCE"/>
    <w:rsid w:val="0007234A"/>
    <w:rsid w:val="00072D41"/>
    <w:rsid w:val="00072FF6"/>
    <w:rsid w:val="0007367E"/>
    <w:rsid w:val="00073CF1"/>
    <w:rsid w:val="000743C0"/>
    <w:rsid w:val="00074D9A"/>
    <w:rsid w:val="00074DCA"/>
    <w:rsid w:val="000768D2"/>
    <w:rsid w:val="000803B2"/>
    <w:rsid w:val="00083186"/>
    <w:rsid w:val="000831E3"/>
    <w:rsid w:val="00083B88"/>
    <w:rsid w:val="00083F0F"/>
    <w:rsid w:val="00085927"/>
    <w:rsid w:val="000861AA"/>
    <w:rsid w:val="00086CD2"/>
    <w:rsid w:val="00086E6F"/>
    <w:rsid w:val="00090D27"/>
    <w:rsid w:val="00090E86"/>
    <w:rsid w:val="00091849"/>
    <w:rsid w:val="00092A99"/>
    <w:rsid w:val="00092FC2"/>
    <w:rsid w:val="0009313D"/>
    <w:rsid w:val="00095003"/>
    <w:rsid w:val="00096AE0"/>
    <w:rsid w:val="00096E0D"/>
    <w:rsid w:val="00097DC8"/>
    <w:rsid w:val="000A0DD3"/>
    <w:rsid w:val="000A17F7"/>
    <w:rsid w:val="000A1ACD"/>
    <w:rsid w:val="000A1E12"/>
    <w:rsid w:val="000A2D15"/>
    <w:rsid w:val="000A3387"/>
    <w:rsid w:val="000A34FD"/>
    <w:rsid w:val="000A463B"/>
    <w:rsid w:val="000A47C1"/>
    <w:rsid w:val="000A6172"/>
    <w:rsid w:val="000B04DE"/>
    <w:rsid w:val="000B0E04"/>
    <w:rsid w:val="000B0EB4"/>
    <w:rsid w:val="000B2762"/>
    <w:rsid w:val="000B2A8C"/>
    <w:rsid w:val="000B404F"/>
    <w:rsid w:val="000B498E"/>
    <w:rsid w:val="000B4993"/>
    <w:rsid w:val="000B694C"/>
    <w:rsid w:val="000B6A67"/>
    <w:rsid w:val="000B6AA4"/>
    <w:rsid w:val="000B6CCF"/>
    <w:rsid w:val="000B7BC2"/>
    <w:rsid w:val="000C2718"/>
    <w:rsid w:val="000C2E1D"/>
    <w:rsid w:val="000C3BB1"/>
    <w:rsid w:val="000C3D18"/>
    <w:rsid w:val="000C4BC0"/>
    <w:rsid w:val="000C4FA5"/>
    <w:rsid w:val="000C624D"/>
    <w:rsid w:val="000C7F47"/>
    <w:rsid w:val="000D116A"/>
    <w:rsid w:val="000D1669"/>
    <w:rsid w:val="000D239F"/>
    <w:rsid w:val="000D2B2B"/>
    <w:rsid w:val="000D2F81"/>
    <w:rsid w:val="000D488D"/>
    <w:rsid w:val="000E0018"/>
    <w:rsid w:val="000E1F55"/>
    <w:rsid w:val="000E2187"/>
    <w:rsid w:val="000E429D"/>
    <w:rsid w:val="000E56DE"/>
    <w:rsid w:val="000E7DF9"/>
    <w:rsid w:val="000F1E08"/>
    <w:rsid w:val="000F1EE7"/>
    <w:rsid w:val="000F2360"/>
    <w:rsid w:val="000F2EF8"/>
    <w:rsid w:val="000F3B3F"/>
    <w:rsid w:val="000F4624"/>
    <w:rsid w:val="000F4CC7"/>
    <w:rsid w:val="000F53B0"/>
    <w:rsid w:val="000F5933"/>
    <w:rsid w:val="000F5F4B"/>
    <w:rsid w:val="000F68ED"/>
    <w:rsid w:val="00102822"/>
    <w:rsid w:val="00103064"/>
    <w:rsid w:val="001048A0"/>
    <w:rsid w:val="00104D3B"/>
    <w:rsid w:val="00105030"/>
    <w:rsid w:val="0010542D"/>
    <w:rsid w:val="00105A97"/>
    <w:rsid w:val="001061ED"/>
    <w:rsid w:val="0010672C"/>
    <w:rsid w:val="001106B3"/>
    <w:rsid w:val="001108BE"/>
    <w:rsid w:val="001108C7"/>
    <w:rsid w:val="001114C6"/>
    <w:rsid w:val="00111C4F"/>
    <w:rsid w:val="00112053"/>
    <w:rsid w:val="001126F5"/>
    <w:rsid w:val="00114799"/>
    <w:rsid w:val="00114CFC"/>
    <w:rsid w:val="001155D5"/>
    <w:rsid w:val="0011565F"/>
    <w:rsid w:val="00116095"/>
    <w:rsid w:val="0011624A"/>
    <w:rsid w:val="0011772F"/>
    <w:rsid w:val="00117A8B"/>
    <w:rsid w:val="00117CF2"/>
    <w:rsid w:val="00117D7F"/>
    <w:rsid w:val="00120145"/>
    <w:rsid w:val="00121901"/>
    <w:rsid w:val="00121E9D"/>
    <w:rsid w:val="00122891"/>
    <w:rsid w:val="00122910"/>
    <w:rsid w:val="00123324"/>
    <w:rsid w:val="001242CD"/>
    <w:rsid w:val="00126460"/>
    <w:rsid w:val="001271FF"/>
    <w:rsid w:val="00127612"/>
    <w:rsid w:val="00130E7B"/>
    <w:rsid w:val="0013333E"/>
    <w:rsid w:val="00133424"/>
    <w:rsid w:val="00134628"/>
    <w:rsid w:val="0013479B"/>
    <w:rsid w:val="001353AE"/>
    <w:rsid w:val="001361E6"/>
    <w:rsid w:val="0013761F"/>
    <w:rsid w:val="00137AEB"/>
    <w:rsid w:val="00140100"/>
    <w:rsid w:val="0014032F"/>
    <w:rsid w:val="00141A87"/>
    <w:rsid w:val="001429F9"/>
    <w:rsid w:val="00144504"/>
    <w:rsid w:val="001445E5"/>
    <w:rsid w:val="001448A5"/>
    <w:rsid w:val="00144A8C"/>
    <w:rsid w:val="001453D7"/>
    <w:rsid w:val="0014664B"/>
    <w:rsid w:val="00147A54"/>
    <w:rsid w:val="001500B1"/>
    <w:rsid w:val="00151A44"/>
    <w:rsid w:val="00152F72"/>
    <w:rsid w:val="001539DD"/>
    <w:rsid w:val="001544C8"/>
    <w:rsid w:val="00154B4D"/>
    <w:rsid w:val="00155AD0"/>
    <w:rsid w:val="001572A7"/>
    <w:rsid w:val="00160283"/>
    <w:rsid w:val="0016087E"/>
    <w:rsid w:val="00160B7F"/>
    <w:rsid w:val="001628AD"/>
    <w:rsid w:val="00162D19"/>
    <w:rsid w:val="00163500"/>
    <w:rsid w:val="00163992"/>
    <w:rsid w:val="00163D75"/>
    <w:rsid w:val="00164D53"/>
    <w:rsid w:val="001651F7"/>
    <w:rsid w:val="001659B0"/>
    <w:rsid w:val="00166441"/>
    <w:rsid w:val="0017053F"/>
    <w:rsid w:val="00170F41"/>
    <w:rsid w:val="00171293"/>
    <w:rsid w:val="0017182E"/>
    <w:rsid w:val="00171B31"/>
    <w:rsid w:val="00172816"/>
    <w:rsid w:val="00174096"/>
    <w:rsid w:val="0017566D"/>
    <w:rsid w:val="001771E2"/>
    <w:rsid w:val="00180844"/>
    <w:rsid w:val="00180F99"/>
    <w:rsid w:val="0018137A"/>
    <w:rsid w:val="001817FF"/>
    <w:rsid w:val="00182852"/>
    <w:rsid w:val="001828BD"/>
    <w:rsid w:val="00184BC3"/>
    <w:rsid w:val="001854D9"/>
    <w:rsid w:val="001859A0"/>
    <w:rsid w:val="001863DB"/>
    <w:rsid w:val="00186FB7"/>
    <w:rsid w:val="00187248"/>
    <w:rsid w:val="0019097C"/>
    <w:rsid w:val="00190CEB"/>
    <w:rsid w:val="0019140A"/>
    <w:rsid w:val="00191F5E"/>
    <w:rsid w:val="00193A1A"/>
    <w:rsid w:val="00193A26"/>
    <w:rsid w:val="001946AE"/>
    <w:rsid w:val="001970D4"/>
    <w:rsid w:val="00197808"/>
    <w:rsid w:val="00197CBF"/>
    <w:rsid w:val="001A0190"/>
    <w:rsid w:val="001A11E5"/>
    <w:rsid w:val="001A1462"/>
    <w:rsid w:val="001A18B4"/>
    <w:rsid w:val="001A253D"/>
    <w:rsid w:val="001A4133"/>
    <w:rsid w:val="001A48AD"/>
    <w:rsid w:val="001A4960"/>
    <w:rsid w:val="001A4AA3"/>
    <w:rsid w:val="001A5AEE"/>
    <w:rsid w:val="001A668F"/>
    <w:rsid w:val="001A6CFD"/>
    <w:rsid w:val="001B03AD"/>
    <w:rsid w:val="001B0DD5"/>
    <w:rsid w:val="001B0EAA"/>
    <w:rsid w:val="001B10B3"/>
    <w:rsid w:val="001B233B"/>
    <w:rsid w:val="001B45F6"/>
    <w:rsid w:val="001B50E8"/>
    <w:rsid w:val="001B63AE"/>
    <w:rsid w:val="001B701C"/>
    <w:rsid w:val="001B752C"/>
    <w:rsid w:val="001B7DD8"/>
    <w:rsid w:val="001C0430"/>
    <w:rsid w:val="001C0D30"/>
    <w:rsid w:val="001C0F5C"/>
    <w:rsid w:val="001C148A"/>
    <w:rsid w:val="001C2739"/>
    <w:rsid w:val="001C3CEA"/>
    <w:rsid w:val="001C429D"/>
    <w:rsid w:val="001C4EA2"/>
    <w:rsid w:val="001C5D0B"/>
    <w:rsid w:val="001C6956"/>
    <w:rsid w:val="001C6C47"/>
    <w:rsid w:val="001C71D6"/>
    <w:rsid w:val="001C7784"/>
    <w:rsid w:val="001D0C68"/>
    <w:rsid w:val="001D14E7"/>
    <w:rsid w:val="001D15EE"/>
    <w:rsid w:val="001D19B1"/>
    <w:rsid w:val="001D2369"/>
    <w:rsid w:val="001D450B"/>
    <w:rsid w:val="001D485C"/>
    <w:rsid w:val="001D6B7A"/>
    <w:rsid w:val="001D768B"/>
    <w:rsid w:val="001D7743"/>
    <w:rsid w:val="001E073A"/>
    <w:rsid w:val="001E15A8"/>
    <w:rsid w:val="001E63A1"/>
    <w:rsid w:val="001E6799"/>
    <w:rsid w:val="001E7A2F"/>
    <w:rsid w:val="001E7A65"/>
    <w:rsid w:val="001F2C7C"/>
    <w:rsid w:val="001F3469"/>
    <w:rsid w:val="001F507C"/>
    <w:rsid w:val="001F52C6"/>
    <w:rsid w:val="001F6600"/>
    <w:rsid w:val="00200C77"/>
    <w:rsid w:val="0020273C"/>
    <w:rsid w:val="00203F9F"/>
    <w:rsid w:val="002040B0"/>
    <w:rsid w:val="002045A1"/>
    <w:rsid w:val="00204951"/>
    <w:rsid w:val="0020496E"/>
    <w:rsid w:val="00205065"/>
    <w:rsid w:val="0020529A"/>
    <w:rsid w:val="002055B8"/>
    <w:rsid w:val="00205C10"/>
    <w:rsid w:val="002104FE"/>
    <w:rsid w:val="002110B7"/>
    <w:rsid w:val="00212BBA"/>
    <w:rsid w:val="002133E6"/>
    <w:rsid w:val="0021533E"/>
    <w:rsid w:val="00217D70"/>
    <w:rsid w:val="00223481"/>
    <w:rsid w:val="00223525"/>
    <w:rsid w:val="002239A5"/>
    <w:rsid w:val="00223B2D"/>
    <w:rsid w:val="00223BCD"/>
    <w:rsid w:val="00223E7C"/>
    <w:rsid w:val="00223EE6"/>
    <w:rsid w:val="002244A6"/>
    <w:rsid w:val="0022487A"/>
    <w:rsid w:val="00224AB2"/>
    <w:rsid w:val="00225707"/>
    <w:rsid w:val="002276FF"/>
    <w:rsid w:val="00227CF3"/>
    <w:rsid w:val="002301A1"/>
    <w:rsid w:val="002301C7"/>
    <w:rsid w:val="0023062E"/>
    <w:rsid w:val="00230709"/>
    <w:rsid w:val="00231654"/>
    <w:rsid w:val="002317F8"/>
    <w:rsid w:val="00232023"/>
    <w:rsid w:val="002329BA"/>
    <w:rsid w:val="00232C33"/>
    <w:rsid w:val="0023450F"/>
    <w:rsid w:val="00234522"/>
    <w:rsid w:val="00234E97"/>
    <w:rsid w:val="00235768"/>
    <w:rsid w:val="0023769C"/>
    <w:rsid w:val="00237F9E"/>
    <w:rsid w:val="002410B5"/>
    <w:rsid w:val="00241143"/>
    <w:rsid w:val="00241DC9"/>
    <w:rsid w:val="0024200C"/>
    <w:rsid w:val="002429E6"/>
    <w:rsid w:val="00243938"/>
    <w:rsid w:val="0024411F"/>
    <w:rsid w:val="00244CE4"/>
    <w:rsid w:val="00245BEB"/>
    <w:rsid w:val="002470D0"/>
    <w:rsid w:val="00247167"/>
    <w:rsid w:val="0024771A"/>
    <w:rsid w:val="002500B8"/>
    <w:rsid w:val="00250BF3"/>
    <w:rsid w:val="00254D12"/>
    <w:rsid w:val="00256C93"/>
    <w:rsid w:val="002574F0"/>
    <w:rsid w:val="002612C9"/>
    <w:rsid w:val="00261D06"/>
    <w:rsid w:val="00262BF5"/>
    <w:rsid w:val="00262E28"/>
    <w:rsid w:val="00262EB8"/>
    <w:rsid w:val="0026699B"/>
    <w:rsid w:val="00266A4B"/>
    <w:rsid w:val="00266C45"/>
    <w:rsid w:val="00267948"/>
    <w:rsid w:val="0027075B"/>
    <w:rsid w:val="00271A02"/>
    <w:rsid w:val="00271AA4"/>
    <w:rsid w:val="0027277D"/>
    <w:rsid w:val="00272DE4"/>
    <w:rsid w:val="002736EB"/>
    <w:rsid w:val="00274314"/>
    <w:rsid w:val="00275AB5"/>
    <w:rsid w:val="00275CBE"/>
    <w:rsid w:val="00277036"/>
    <w:rsid w:val="00281710"/>
    <w:rsid w:val="00282991"/>
    <w:rsid w:val="00282A10"/>
    <w:rsid w:val="00282AA1"/>
    <w:rsid w:val="002832AF"/>
    <w:rsid w:val="00283B3E"/>
    <w:rsid w:val="002846C2"/>
    <w:rsid w:val="00285B4B"/>
    <w:rsid w:val="002862C3"/>
    <w:rsid w:val="00286A6B"/>
    <w:rsid w:val="00287F03"/>
    <w:rsid w:val="0029069C"/>
    <w:rsid w:val="00290B88"/>
    <w:rsid w:val="002911B3"/>
    <w:rsid w:val="00291E08"/>
    <w:rsid w:val="00292272"/>
    <w:rsid w:val="00294B5E"/>
    <w:rsid w:val="00294D14"/>
    <w:rsid w:val="00295086"/>
    <w:rsid w:val="00296412"/>
    <w:rsid w:val="00296BFA"/>
    <w:rsid w:val="00296F49"/>
    <w:rsid w:val="00297221"/>
    <w:rsid w:val="00297732"/>
    <w:rsid w:val="00297B59"/>
    <w:rsid w:val="002A0B95"/>
    <w:rsid w:val="002A0E21"/>
    <w:rsid w:val="002A0FED"/>
    <w:rsid w:val="002A1E37"/>
    <w:rsid w:val="002A31C6"/>
    <w:rsid w:val="002A3374"/>
    <w:rsid w:val="002A33BC"/>
    <w:rsid w:val="002A465B"/>
    <w:rsid w:val="002A69D5"/>
    <w:rsid w:val="002A6B63"/>
    <w:rsid w:val="002B0289"/>
    <w:rsid w:val="002B05B1"/>
    <w:rsid w:val="002B0F9D"/>
    <w:rsid w:val="002B366F"/>
    <w:rsid w:val="002B4614"/>
    <w:rsid w:val="002B4811"/>
    <w:rsid w:val="002B5197"/>
    <w:rsid w:val="002B5708"/>
    <w:rsid w:val="002B6EBA"/>
    <w:rsid w:val="002B7282"/>
    <w:rsid w:val="002C05FA"/>
    <w:rsid w:val="002C1EB8"/>
    <w:rsid w:val="002C20B9"/>
    <w:rsid w:val="002C358E"/>
    <w:rsid w:val="002C44FF"/>
    <w:rsid w:val="002C4517"/>
    <w:rsid w:val="002C6421"/>
    <w:rsid w:val="002C7010"/>
    <w:rsid w:val="002C7053"/>
    <w:rsid w:val="002C778E"/>
    <w:rsid w:val="002C7FBB"/>
    <w:rsid w:val="002D0214"/>
    <w:rsid w:val="002D02EE"/>
    <w:rsid w:val="002D09E9"/>
    <w:rsid w:val="002D1C06"/>
    <w:rsid w:val="002D215C"/>
    <w:rsid w:val="002D2B8F"/>
    <w:rsid w:val="002D2FF5"/>
    <w:rsid w:val="002D31BB"/>
    <w:rsid w:val="002D38A4"/>
    <w:rsid w:val="002D4345"/>
    <w:rsid w:val="002D4FFD"/>
    <w:rsid w:val="002D5115"/>
    <w:rsid w:val="002D5AC7"/>
    <w:rsid w:val="002D6615"/>
    <w:rsid w:val="002D6BBE"/>
    <w:rsid w:val="002E019D"/>
    <w:rsid w:val="002E05BA"/>
    <w:rsid w:val="002E0A3A"/>
    <w:rsid w:val="002E10FF"/>
    <w:rsid w:val="002E11D7"/>
    <w:rsid w:val="002E1E0B"/>
    <w:rsid w:val="002E203A"/>
    <w:rsid w:val="002E2B82"/>
    <w:rsid w:val="002E31DC"/>
    <w:rsid w:val="002E464E"/>
    <w:rsid w:val="002E4942"/>
    <w:rsid w:val="002E65AB"/>
    <w:rsid w:val="002E7464"/>
    <w:rsid w:val="002F1544"/>
    <w:rsid w:val="002F1625"/>
    <w:rsid w:val="002F1F88"/>
    <w:rsid w:val="002F276F"/>
    <w:rsid w:val="002F2C45"/>
    <w:rsid w:val="002F4308"/>
    <w:rsid w:val="002F455E"/>
    <w:rsid w:val="002F4AB2"/>
    <w:rsid w:val="002F57FA"/>
    <w:rsid w:val="002F5A0B"/>
    <w:rsid w:val="002F5AAD"/>
    <w:rsid w:val="002F5AAF"/>
    <w:rsid w:val="002F7A25"/>
    <w:rsid w:val="0030420F"/>
    <w:rsid w:val="003054BA"/>
    <w:rsid w:val="00306471"/>
    <w:rsid w:val="00307902"/>
    <w:rsid w:val="0030791D"/>
    <w:rsid w:val="003117A1"/>
    <w:rsid w:val="00312F0D"/>
    <w:rsid w:val="00313237"/>
    <w:rsid w:val="00314380"/>
    <w:rsid w:val="00316861"/>
    <w:rsid w:val="003223F5"/>
    <w:rsid w:val="00325DF6"/>
    <w:rsid w:val="0032619E"/>
    <w:rsid w:val="00326518"/>
    <w:rsid w:val="00327A8E"/>
    <w:rsid w:val="00327C56"/>
    <w:rsid w:val="0033087F"/>
    <w:rsid w:val="003325A2"/>
    <w:rsid w:val="003335B9"/>
    <w:rsid w:val="00333E94"/>
    <w:rsid w:val="00335368"/>
    <w:rsid w:val="0033561B"/>
    <w:rsid w:val="00335792"/>
    <w:rsid w:val="00336181"/>
    <w:rsid w:val="00337898"/>
    <w:rsid w:val="00340688"/>
    <w:rsid w:val="00340B35"/>
    <w:rsid w:val="00340FDC"/>
    <w:rsid w:val="0034126A"/>
    <w:rsid w:val="003426DB"/>
    <w:rsid w:val="00342C97"/>
    <w:rsid w:val="00342D6C"/>
    <w:rsid w:val="00343A93"/>
    <w:rsid w:val="003440D7"/>
    <w:rsid w:val="00345465"/>
    <w:rsid w:val="0034627E"/>
    <w:rsid w:val="003463F2"/>
    <w:rsid w:val="003478AC"/>
    <w:rsid w:val="003502DE"/>
    <w:rsid w:val="00350EA3"/>
    <w:rsid w:val="00351D57"/>
    <w:rsid w:val="0035467B"/>
    <w:rsid w:val="003553D6"/>
    <w:rsid w:val="00355428"/>
    <w:rsid w:val="00355C70"/>
    <w:rsid w:val="0035768A"/>
    <w:rsid w:val="00357762"/>
    <w:rsid w:val="00357FFC"/>
    <w:rsid w:val="00360548"/>
    <w:rsid w:val="00360687"/>
    <w:rsid w:val="00367C8C"/>
    <w:rsid w:val="00370EA4"/>
    <w:rsid w:val="00370F8C"/>
    <w:rsid w:val="0037130A"/>
    <w:rsid w:val="003722DC"/>
    <w:rsid w:val="00372912"/>
    <w:rsid w:val="00372AD5"/>
    <w:rsid w:val="00373166"/>
    <w:rsid w:val="0037409C"/>
    <w:rsid w:val="00374B53"/>
    <w:rsid w:val="0037605A"/>
    <w:rsid w:val="003768AD"/>
    <w:rsid w:val="00376B2E"/>
    <w:rsid w:val="00376E72"/>
    <w:rsid w:val="00380083"/>
    <w:rsid w:val="00380713"/>
    <w:rsid w:val="00381295"/>
    <w:rsid w:val="003817C8"/>
    <w:rsid w:val="00381E21"/>
    <w:rsid w:val="003821E4"/>
    <w:rsid w:val="00382241"/>
    <w:rsid w:val="00382573"/>
    <w:rsid w:val="00384376"/>
    <w:rsid w:val="003847C5"/>
    <w:rsid w:val="00384A21"/>
    <w:rsid w:val="00384E94"/>
    <w:rsid w:val="00384EE3"/>
    <w:rsid w:val="00386EA6"/>
    <w:rsid w:val="00386F38"/>
    <w:rsid w:val="00391B00"/>
    <w:rsid w:val="00392448"/>
    <w:rsid w:val="00392463"/>
    <w:rsid w:val="00393425"/>
    <w:rsid w:val="003936C3"/>
    <w:rsid w:val="0039445D"/>
    <w:rsid w:val="00394984"/>
    <w:rsid w:val="00394A3A"/>
    <w:rsid w:val="00395A98"/>
    <w:rsid w:val="00396C46"/>
    <w:rsid w:val="003977CA"/>
    <w:rsid w:val="00397D0B"/>
    <w:rsid w:val="003A0085"/>
    <w:rsid w:val="003A070C"/>
    <w:rsid w:val="003A1144"/>
    <w:rsid w:val="003A2568"/>
    <w:rsid w:val="003A32A2"/>
    <w:rsid w:val="003A3EE0"/>
    <w:rsid w:val="003A5477"/>
    <w:rsid w:val="003A6E3E"/>
    <w:rsid w:val="003B0511"/>
    <w:rsid w:val="003B1AAA"/>
    <w:rsid w:val="003B2000"/>
    <w:rsid w:val="003B2016"/>
    <w:rsid w:val="003B3FC0"/>
    <w:rsid w:val="003B4936"/>
    <w:rsid w:val="003B532B"/>
    <w:rsid w:val="003B5A2C"/>
    <w:rsid w:val="003B63E4"/>
    <w:rsid w:val="003B6A59"/>
    <w:rsid w:val="003B7C57"/>
    <w:rsid w:val="003C0899"/>
    <w:rsid w:val="003C0C81"/>
    <w:rsid w:val="003C312E"/>
    <w:rsid w:val="003C373F"/>
    <w:rsid w:val="003C415B"/>
    <w:rsid w:val="003C5C1A"/>
    <w:rsid w:val="003C5D97"/>
    <w:rsid w:val="003D0ED6"/>
    <w:rsid w:val="003D1931"/>
    <w:rsid w:val="003D2479"/>
    <w:rsid w:val="003D3419"/>
    <w:rsid w:val="003D3996"/>
    <w:rsid w:val="003D4157"/>
    <w:rsid w:val="003D5BD8"/>
    <w:rsid w:val="003D5C5A"/>
    <w:rsid w:val="003D6416"/>
    <w:rsid w:val="003D757C"/>
    <w:rsid w:val="003D7D21"/>
    <w:rsid w:val="003E1425"/>
    <w:rsid w:val="003E158B"/>
    <w:rsid w:val="003E1DCD"/>
    <w:rsid w:val="003E20BD"/>
    <w:rsid w:val="003E302D"/>
    <w:rsid w:val="003E4A49"/>
    <w:rsid w:val="003E4BAC"/>
    <w:rsid w:val="003E51D2"/>
    <w:rsid w:val="003E77B3"/>
    <w:rsid w:val="003E7F3C"/>
    <w:rsid w:val="003F129D"/>
    <w:rsid w:val="003F14AD"/>
    <w:rsid w:val="003F1F76"/>
    <w:rsid w:val="003F2A8E"/>
    <w:rsid w:val="003F2B72"/>
    <w:rsid w:val="003F2E04"/>
    <w:rsid w:val="003F2F62"/>
    <w:rsid w:val="003F32CE"/>
    <w:rsid w:val="003F35C5"/>
    <w:rsid w:val="003F3AB1"/>
    <w:rsid w:val="003F4A8C"/>
    <w:rsid w:val="003F597E"/>
    <w:rsid w:val="003F5F58"/>
    <w:rsid w:val="003F69BC"/>
    <w:rsid w:val="003F6FAC"/>
    <w:rsid w:val="003F7384"/>
    <w:rsid w:val="003F7D76"/>
    <w:rsid w:val="00400D9D"/>
    <w:rsid w:val="00400FDD"/>
    <w:rsid w:val="00401CAF"/>
    <w:rsid w:val="00402C26"/>
    <w:rsid w:val="004035EE"/>
    <w:rsid w:val="0040377B"/>
    <w:rsid w:val="004055D0"/>
    <w:rsid w:val="00406091"/>
    <w:rsid w:val="0040621A"/>
    <w:rsid w:val="00406789"/>
    <w:rsid w:val="00407FCC"/>
    <w:rsid w:val="004106E2"/>
    <w:rsid w:val="00410C35"/>
    <w:rsid w:val="004111D1"/>
    <w:rsid w:val="004121B6"/>
    <w:rsid w:val="00412F0C"/>
    <w:rsid w:val="00413595"/>
    <w:rsid w:val="00413828"/>
    <w:rsid w:val="004143DF"/>
    <w:rsid w:val="00414A01"/>
    <w:rsid w:val="0041542C"/>
    <w:rsid w:val="00416531"/>
    <w:rsid w:val="004166E4"/>
    <w:rsid w:val="00416FEA"/>
    <w:rsid w:val="00417408"/>
    <w:rsid w:val="0042065A"/>
    <w:rsid w:val="0042082F"/>
    <w:rsid w:val="004228C1"/>
    <w:rsid w:val="0042405D"/>
    <w:rsid w:val="00424728"/>
    <w:rsid w:val="00424A4F"/>
    <w:rsid w:val="00426A40"/>
    <w:rsid w:val="00430389"/>
    <w:rsid w:val="00430C24"/>
    <w:rsid w:val="0043112F"/>
    <w:rsid w:val="00431BC8"/>
    <w:rsid w:val="00433349"/>
    <w:rsid w:val="00433712"/>
    <w:rsid w:val="00434124"/>
    <w:rsid w:val="00434AD0"/>
    <w:rsid w:val="00434BE7"/>
    <w:rsid w:val="00435117"/>
    <w:rsid w:val="00437F55"/>
    <w:rsid w:val="00440399"/>
    <w:rsid w:val="00440A16"/>
    <w:rsid w:val="00440AE8"/>
    <w:rsid w:val="00441A7D"/>
    <w:rsid w:val="00443A23"/>
    <w:rsid w:val="00443FDD"/>
    <w:rsid w:val="00444224"/>
    <w:rsid w:val="00446351"/>
    <w:rsid w:val="00446F94"/>
    <w:rsid w:val="0044704C"/>
    <w:rsid w:val="00451797"/>
    <w:rsid w:val="00451861"/>
    <w:rsid w:val="00453757"/>
    <w:rsid w:val="00453F5F"/>
    <w:rsid w:val="00454201"/>
    <w:rsid w:val="00454C25"/>
    <w:rsid w:val="004567BB"/>
    <w:rsid w:val="004569F5"/>
    <w:rsid w:val="00457358"/>
    <w:rsid w:val="00457856"/>
    <w:rsid w:val="00457CBC"/>
    <w:rsid w:val="00460531"/>
    <w:rsid w:val="004610F0"/>
    <w:rsid w:val="004612D1"/>
    <w:rsid w:val="0046203D"/>
    <w:rsid w:val="00462881"/>
    <w:rsid w:val="0046366F"/>
    <w:rsid w:val="00463F51"/>
    <w:rsid w:val="0046590A"/>
    <w:rsid w:val="0046623C"/>
    <w:rsid w:val="00466CFE"/>
    <w:rsid w:val="00467EC0"/>
    <w:rsid w:val="00470489"/>
    <w:rsid w:val="0047176E"/>
    <w:rsid w:val="004719AD"/>
    <w:rsid w:val="00471ADE"/>
    <w:rsid w:val="0047205B"/>
    <w:rsid w:val="00472641"/>
    <w:rsid w:val="004741E4"/>
    <w:rsid w:val="00476AF8"/>
    <w:rsid w:val="00480EB3"/>
    <w:rsid w:val="004831E6"/>
    <w:rsid w:val="0049074F"/>
    <w:rsid w:val="00491DB5"/>
    <w:rsid w:val="0049340C"/>
    <w:rsid w:val="004942F1"/>
    <w:rsid w:val="00494EEF"/>
    <w:rsid w:val="00496801"/>
    <w:rsid w:val="004A0004"/>
    <w:rsid w:val="004A3A1A"/>
    <w:rsid w:val="004A56FF"/>
    <w:rsid w:val="004A6477"/>
    <w:rsid w:val="004A666E"/>
    <w:rsid w:val="004A76BD"/>
    <w:rsid w:val="004A7D5D"/>
    <w:rsid w:val="004A7FB0"/>
    <w:rsid w:val="004B0926"/>
    <w:rsid w:val="004B17C0"/>
    <w:rsid w:val="004B1B6A"/>
    <w:rsid w:val="004B1B9F"/>
    <w:rsid w:val="004B266A"/>
    <w:rsid w:val="004B3D1F"/>
    <w:rsid w:val="004B45B3"/>
    <w:rsid w:val="004B538F"/>
    <w:rsid w:val="004B601F"/>
    <w:rsid w:val="004B6B7C"/>
    <w:rsid w:val="004B6D49"/>
    <w:rsid w:val="004C0E2B"/>
    <w:rsid w:val="004C16AF"/>
    <w:rsid w:val="004C1B5A"/>
    <w:rsid w:val="004C20FE"/>
    <w:rsid w:val="004C23C6"/>
    <w:rsid w:val="004C3DDB"/>
    <w:rsid w:val="004C3E93"/>
    <w:rsid w:val="004C44E1"/>
    <w:rsid w:val="004D3FF4"/>
    <w:rsid w:val="004D4219"/>
    <w:rsid w:val="004D4748"/>
    <w:rsid w:val="004D4C53"/>
    <w:rsid w:val="004D5686"/>
    <w:rsid w:val="004D6E4E"/>
    <w:rsid w:val="004E02C7"/>
    <w:rsid w:val="004E1939"/>
    <w:rsid w:val="004E24D1"/>
    <w:rsid w:val="004E31AB"/>
    <w:rsid w:val="004E36D4"/>
    <w:rsid w:val="004E3F8C"/>
    <w:rsid w:val="004E570C"/>
    <w:rsid w:val="004E767E"/>
    <w:rsid w:val="004F055F"/>
    <w:rsid w:val="004F178E"/>
    <w:rsid w:val="004F353D"/>
    <w:rsid w:val="004F4247"/>
    <w:rsid w:val="004F484A"/>
    <w:rsid w:val="004F5EF5"/>
    <w:rsid w:val="004F5F45"/>
    <w:rsid w:val="004F6228"/>
    <w:rsid w:val="004F635E"/>
    <w:rsid w:val="004F67E1"/>
    <w:rsid w:val="004F71A0"/>
    <w:rsid w:val="005007EA"/>
    <w:rsid w:val="00501C52"/>
    <w:rsid w:val="00502D3C"/>
    <w:rsid w:val="00504581"/>
    <w:rsid w:val="0050645A"/>
    <w:rsid w:val="0050657E"/>
    <w:rsid w:val="0050678C"/>
    <w:rsid w:val="00506852"/>
    <w:rsid w:val="005078E2"/>
    <w:rsid w:val="00507BD4"/>
    <w:rsid w:val="00507D69"/>
    <w:rsid w:val="005107A2"/>
    <w:rsid w:val="00510D1D"/>
    <w:rsid w:val="0051138C"/>
    <w:rsid w:val="00511509"/>
    <w:rsid w:val="00511EED"/>
    <w:rsid w:val="0051338A"/>
    <w:rsid w:val="0051353D"/>
    <w:rsid w:val="00513B92"/>
    <w:rsid w:val="005152F4"/>
    <w:rsid w:val="0051644D"/>
    <w:rsid w:val="005167DA"/>
    <w:rsid w:val="00516E34"/>
    <w:rsid w:val="00517C24"/>
    <w:rsid w:val="00517F66"/>
    <w:rsid w:val="00517FAF"/>
    <w:rsid w:val="005206A6"/>
    <w:rsid w:val="00521ABA"/>
    <w:rsid w:val="00522B4C"/>
    <w:rsid w:val="0052323E"/>
    <w:rsid w:val="005235C6"/>
    <w:rsid w:val="00523A1F"/>
    <w:rsid w:val="00523A4E"/>
    <w:rsid w:val="00523F73"/>
    <w:rsid w:val="00524B4D"/>
    <w:rsid w:val="00525940"/>
    <w:rsid w:val="005278FE"/>
    <w:rsid w:val="00532B30"/>
    <w:rsid w:val="005332B8"/>
    <w:rsid w:val="005342EF"/>
    <w:rsid w:val="005346A9"/>
    <w:rsid w:val="00535745"/>
    <w:rsid w:val="00535E9E"/>
    <w:rsid w:val="0053693F"/>
    <w:rsid w:val="00537568"/>
    <w:rsid w:val="0053798C"/>
    <w:rsid w:val="00541893"/>
    <w:rsid w:val="00542807"/>
    <w:rsid w:val="0054446E"/>
    <w:rsid w:val="005462CA"/>
    <w:rsid w:val="0054738D"/>
    <w:rsid w:val="00550D0C"/>
    <w:rsid w:val="0055132A"/>
    <w:rsid w:val="005551FF"/>
    <w:rsid w:val="00555E7A"/>
    <w:rsid w:val="005561BD"/>
    <w:rsid w:val="00556A4C"/>
    <w:rsid w:val="00556CA7"/>
    <w:rsid w:val="005572C3"/>
    <w:rsid w:val="00560C20"/>
    <w:rsid w:val="00560D71"/>
    <w:rsid w:val="005620BF"/>
    <w:rsid w:val="00562335"/>
    <w:rsid w:val="005637CF"/>
    <w:rsid w:val="00563C76"/>
    <w:rsid w:val="00563D46"/>
    <w:rsid w:val="00564DE1"/>
    <w:rsid w:val="0056593D"/>
    <w:rsid w:val="00565F5E"/>
    <w:rsid w:val="00565FFF"/>
    <w:rsid w:val="00566F7B"/>
    <w:rsid w:val="00567EA7"/>
    <w:rsid w:val="0057033A"/>
    <w:rsid w:val="005709B7"/>
    <w:rsid w:val="00570D21"/>
    <w:rsid w:val="00571F88"/>
    <w:rsid w:val="005729AE"/>
    <w:rsid w:val="005732D8"/>
    <w:rsid w:val="0057405C"/>
    <w:rsid w:val="005742F7"/>
    <w:rsid w:val="005751F8"/>
    <w:rsid w:val="00575F6E"/>
    <w:rsid w:val="005763A5"/>
    <w:rsid w:val="005763B7"/>
    <w:rsid w:val="00576BD7"/>
    <w:rsid w:val="00576F20"/>
    <w:rsid w:val="005770A6"/>
    <w:rsid w:val="00577EAB"/>
    <w:rsid w:val="00577ECC"/>
    <w:rsid w:val="00581342"/>
    <w:rsid w:val="005848FD"/>
    <w:rsid w:val="00584E32"/>
    <w:rsid w:val="00585673"/>
    <w:rsid w:val="00585788"/>
    <w:rsid w:val="00586999"/>
    <w:rsid w:val="00587593"/>
    <w:rsid w:val="005906FF"/>
    <w:rsid w:val="00592496"/>
    <w:rsid w:val="00592A66"/>
    <w:rsid w:val="00592BAA"/>
    <w:rsid w:val="0059551E"/>
    <w:rsid w:val="005975E2"/>
    <w:rsid w:val="005977B4"/>
    <w:rsid w:val="00597B5D"/>
    <w:rsid w:val="005A12E2"/>
    <w:rsid w:val="005A21B4"/>
    <w:rsid w:val="005A23C5"/>
    <w:rsid w:val="005A2462"/>
    <w:rsid w:val="005A31A9"/>
    <w:rsid w:val="005A3449"/>
    <w:rsid w:val="005A3690"/>
    <w:rsid w:val="005A379B"/>
    <w:rsid w:val="005A45E2"/>
    <w:rsid w:val="005A4A70"/>
    <w:rsid w:val="005A5630"/>
    <w:rsid w:val="005A564B"/>
    <w:rsid w:val="005A63B7"/>
    <w:rsid w:val="005A7F62"/>
    <w:rsid w:val="005B1110"/>
    <w:rsid w:val="005B199F"/>
    <w:rsid w:val="005B1B6D"/>
    <w:rsid w:val="005B2DE2"/>
    <w:rsid w:val="005B370D"/>
    <w:rsid w:val="005B3FCC"/>
    <w:rsid w:val="005B4735"/>
    <w:rsid w:val="005B48A4"/>
    <w:rsid w:val="005B5EC2"/>
    <w:rsid w:val="005B65FA"/>
    <w:rsid w:val="005B70A8"/>
    <w:rsid w:val="005B7E28"/>
    <w:rsid w:val="005C0361"/>
    <w:rsid w:val="005C0D4F"/>
    <w:rsid w:val="005C1DD3"/>
    <w:rsid w:val="005C1F6B"/>
    <w:rsid w:val="005C2305"/>
    <w:rsid w:val="005C4D71"/>
    <w:rsid w:val="005C6273"/>
    <w:rsid w:val="005C64A6"/>
    <w:rsid w:val="005C7684"/>
    <w:rsid w:val="005D0C43"/>
    <w:rsid w:val="005D1140"/>
    <w:rsid w:val="005D1481"/>
    <w:rsid w:val="005D1C10"/>
    <w:rsid w:val="005D2340"/>
    <w:rsid w:val="005D5405"/>
    <w:rsid w:val="005D545B"/>
    <w:rsid w:val="005D5AAD"/>
    <w:rsid w:val="005D5E64"/>
    <w:rsid w:val="005D67F4"/>
    <w:rsid w:val="005D6AF8"/>
    <w:rsid w:val="005E013D"/>
    <w:rsid w:val="005E03B5"/>
    <w:rsid w:val="005E06A7"/>
    <w:rsid w:val="005E0B0C"/>
    <w:rsid w:val="005E1042"/>
    <w:rsid w:val="005E1B94"/>
    <w:rsid w:val="005E2BBD"/>
    <w:rsid w:val="005E566F"/>
    <w:rsid w:val="005E6DD1"/>
    <w:rsid w:val="005E78A0"/>
    <w:rsid w:val="005E7F2D"/>
    <w:rsid w:val="005F10C2"/>
    <w:rsid w:val="005F1203"/>
    <w:rsid w:val="005F1438"/>
    <w:rsid w:val="005F14B2"/>
    <w:rsid w:val="005F2F94"/>
    <w:rsid w:val="005F37B7"/>
    <w:rsid w:val="005F38B7"/>
    <w:rsid w:val="005F3C10"/>
    <w:rsid w:val="005F49B5"/>
    <w:rsid w:val="005F4C83"/>
    <w:rsid w:val="005F5408"/>
    <w:rsid w:val="005F59A7"/>
    <w:rsid w:val="005F631F"/>
    <w:rsid w:val="006017D9"/>
    <w:rsid w:val="006017E0"/>
    <w:rsid w:val="006018C0"/>
    <w:rsid w:val="006023E6"/>
    <w:rsid w:val="006028EB"/>
    <w:rsid w:val="00602B5F"/>
    <w:rsid w:val="006034A2"/>
    <w:rsid w:val="006038BC"/>
    <w:rsid w:val="00603C7D"/>
    <w:rsid w:val="00604900"/>
    <w:rsid w:val="006052D8"/>
    <w:rsid w:val="00606447"/>
    <w:rsid w:val="006064E2"/>
    <w:rsid w:val="006110FF"/>
    <w:rsid w:val="0061424B"/>
    <w:rsid w:val="006157D4"/>
    <w:rsid w:val="00617408"/>
    <w:rsid w:val="00620250"/>
    <w:rsid w:val="006238E3"/>
    <w:rsid w:val="00624AEF"/>
    <w:rsid w:val="00626829"/>
    <w:rsid w:val="00626C40"/>
    <w:rsid w:val="006273B1"/>
    <w:rsid w:val="006316D2"/>
    <w:rsid w:val="00631AA4"/>
    <w:rsid w:val="006321A4"/>
    <w:rsid w:val="006345DB"/>
    <w:rsid w:val="006354D2"/>
    <w:rsid w:val="0063575A"/>
    <w:rsid w:val="006375C2"/>
    <w:rsid w:val="006400C4"/>
    <w:rsid w:val="006424E7"/>
    <w:rsid w:val="00643EB1"/>
    <w:rsid w:val="00646DFF"/>
    <w:rsid w:val="00647D36"/>
    <w:rsid w:val="0065019E"/>
    <w:rsid w:val="00652C9A"/>
    <w:rsid w:val="00653210"/>
    <w:rsid w:val="00653604"/>
    <w:rsid w:val="006542F1"/>
    <w:rsid w:val="00654FB6"/>
    <w:rsid w:val="0065744D"/>
    <w:rsid w:val="00657B68"/>
    <w:rsid w:val="00660E8A"/>
    <w:rsid w:val="00660F88"/>
    <w:rsid w:val="00661E3A"/>
    <w:rsid w:val="006627A7"/>
    <w:rsid w:val="00662BD7"/>
    <w:rsid w:val="0066302D"/>
    <w:rsid w:val="00663D59"/>
    <w:rsid w:val="0066573D"/>
    <w:rsid w:val="00667852"/>
    <w:rsid w:val="006709A1"/>
    <w:rsid w:val="006712F1"/>
    <w:rsid w:val="00671ADE"/>
    <w:rsid w:val="00672E96"/>
    <w:rsid w:val="00672EB2"/>
    <w:rsid w:val="006731FF"/>
    <w:rsid w:val="0067384F"/>
    <w:rsid w:val="006741AE"/>
    <w:rsid w:val="006741BE"/>
    <w:rsid w:val="006758AD"/>
    <w:rsid w:val="00675F26"/>
    <w:rsid w:val="00676EA5"/>
    <w:rsid w:val="006773D7"/>
    <w:rsid w:val="00677FEA"/>
    <w:rsid w:val="00680419"/>
    <w:rsid w:val="00682E2D"/>
    <w:rsid w:val="00684BB8"/>
    <w:rsid w:val="00686721"/>
    <w:rsid w:val="00687D4E"/>
    <w:rsid w:val="00690E07"/>
    <w:rsid w:val="00691DEF"/>
    <w:rsid w:val="00692217"/>
    <w:rsid w:val="006931E7"/>
    <w:rsid w:val="006932B4"/>
    <w:rsid w:val="0069424E"/>
    <w:rsid w:val="0069457D"/>
    <w:rsid w:val="00694AF0"/>
    <w:rsid w:val="00695650"/>
    <w:rsid w:val="00695FF3"/>
    <w:rsid w:val="006A0112"/>
    <w:rsid w:val="006A0FBF"/>
    <w:rsid w:val="006A13EA"/>
    <w:rsid w:val="006A1B4E"/>
    <w:rsid w:val="006A2504"/>
    <w:rsid w:val="006A35F8"/>
    <w:rsid w:val="006A41B5"/>
    <w:rsid w:val="006A43CC"/>
    <w:rsid w:val="006A4BAE"/>
    <w:rsid w:val="006A5B47"/>
    <w:rsid w:val="006A6DF5"/>
    <w:rsid w:val="006B01E9"/>
    <w:rsid w:val="006B0864"/>
    <w:rsid w:val="006B17C2"/>
    <w:rsid w:val="006B19D5"/>
    <w:rsid w:val="006B1D7E"/>
    <w:rsid w:val="006B2C9F"/>
    <w:rsid w:val="006B2F7D"/>
    <w:rsid w:val="006B3B8D"/>
    <w:rsid w:val="006B502B"/>
    <w:rsid w:val="006B6088"/>
    <w:rsid w:val="006B6B1E"/>
    <w:rsid w:val="006B7882"/>
    <w:rsid w:val="006C07EC"/>
    <w:rsid w:val="006C23BE"/>
    <w:rsid w:val="006C3264"/>
    <w:rsid w:val="006C3404"/>
    <w:rsid w:val="006C373F"/>
    <w:rsid w:val="006C4C8B"/>
    <w:rsid w:val="006C6CFF"/>
    <w:rsid w:val="006C6ECA"/>
    <w:rsid w:val="006C7C59"/>
    <w:rsid w:val="006D0845"/>
    <w:rsid w:val="006D18D3"/>
    <w:rsid w:val="006D3EB5"/>
    <w:rsid w:val="006D477A"/>
    <w:rsid w:val="006D4FF2"/>
    <w:rsid w:val="006D5624"/>
    <w:rsid w:val="006D65F2"/>
    <w:rsid w:val="006E093E"/>
    <w:rsid w:val="006E0EBA"/>
    <w:rsid w:val="006E13AD"/>
    <w:rsid w:val="006E4250"/>
    <w:rsid w:val="006E440D"/>
    <w:rsid w:val="006E4D34"/>
    <w:rsid w:val="006E53D4"/>
    <w:rsid w:val="006E5C84"/>
    <w:rsid w:val="006E6742"/>
    <w:rsid w:val="006E6CA5"/>
    <w:rsid w:val="006E6DC7"/>
    <w:rsid w:val="006E718B"/>
    <w:rsid w:val="006E71A5"/>
    <w:rsid w:val="006E7236"/>
    <w:rsid w:val="006E75F8"/>
    <w:rsid w:val="006E765F"/>
    <w:rsid w:val="006E776D"/>
    <w:rsid w:val="006F0F97"/>
    <w:rsid w:val="006F19D4"/>
    <w:rsid w:val="006F2C44"/>
    <w:rsid w:val="006F4E4F"/>
    <w:rsid w:val="006F5C53"/>
    <w:rsid w:val="006F5F29"/>
    <w:rsid w:val="006F6E5D"/>
    <w:rsid w:val="00702500"/>
    <w:rsid w:val="00703807"/>
    <w:rsid w:val="00705614"/>
    <w:rsid w:val="00706247"/>
    <w:rsid w:val="007065E9"/>
    <w:rsid w:val="007066D3"/>
    <w:rsid w:val="007068A8"/>
    <w:rsid w:val="00706BC5"/>
    <w:rsid w:val="00707CD1"/>
    <w:rsid w:val="007105FE"/>
    <w:rsid w:val="00711418"/>
    <w:rsid w:val="007137C2"/>
    <w:rsid w:val="00713994"/>
    <w:rsid w:val="007171D3"/>
    <w:rsid w:val="00721531"/>
    <w:rsid w:val="00721D67"/>
    <w:rsid w:val="00722A8D"/>
    <w:rsid w:val="007233B0"/>
    <w:rsid w:val="00723706"/>
    <w:rsid w:val="0072421D"/>
    <w:rsid w:val="00724F16"/>
    <w:rsid w:val="007252FE"/>
    <w:rsid w:val="0072584F"/>
    <w:rsid w:val="00726786"/>
    <w:rsid w:val="00726803"/>
    <w:rsid w:val="00727868"/>
    <w:rsid w:val="00727AB8"/>
    <w:rsid w:val="007305B6"/>
    <w:rsid w:val="00732044"/>
    <w:rsid w:val="00732098"/>
    <w:rsid w:val="0073481B"/>
    <w:rsid w:val="007364DA"/>
    <w:rsid w:val="00737477"/>
    <w:rsid w:val="0073763C"/>
    <w:rsid w:val="0074201D"/>
    <w:rsid w:val="00742B3D"/>
    <w:rsid w:val="0074360D"/>
    <w:rsid w:val="00743F9F"/>
    <w:rsid w:val="007450C7"/>
    <w:rsid w:val="00745839"/>
    <w:rsid w:val="007464A7"/>
    <w:rsid w:val="00746D3F"/>
    <w:rsid w:val="00750049"/>
    <w:rsid w:val="0075110B"/>
    <w:rsid w:val="00751259"/>
    <w:rsid w:val="00753642"/>
    <w:rsid w:val="00754A14"/>
    <w:rsid w:val="00754B62"/>
    <w:rsid w:val="007554C3"/>
    <w:rsid w:val="00755A38"/>
    <w:rsid w:val="007572A2"/>
    <w:rsid w:val="0075759C"/>
    <w:rsid w:val="007600C4"/>
    <w:rsid w:val="00760A96"/>
    <w:rsid w:val="00760C12"/>
    <w:rsid w:val="00760E4C"/>
    <w:rsid w:val="00761115"/>
    <w:rsid w:val="007612E3"/>
    <w:rsid w:val="0076453E"/>
    <w:rsid w:val="00764D18"/>
    <w:rsid w:val="00765EE6"/>
    <w:rsid w:val="00766487"/>
    <w:rsid w:val="00766F43"/>
    <w:rsid w:val="007716B5"/>
    <w:rsid w:val="00771CC3"/>
    <w:rsid w:val="00774309"/>
    <w:rsid w:val="0077490E"/>
    <w:rsid w:val="00777116"/>
    <w:rsid w:val="007774C7"/>
    <w:rsid w:val="00777EBB"/>
    <w:rsid w:val="007807B5"/>
    <w:rsid w:val="00782936"/>
    <w:rsid w:val="007838A7"/>
    <w:rsid w:val="0078423A"/>
    <w:rsid w:val="00784951"/>
    <w:rsid w:val="0078554C"/>
    <w:rsid w:val="00790060"/>
    <w:rsid w:val="007926C2"/>
    <w:rsid w:val="007928A9"/>
    <w:rsid w:val="00792B5E"/>
    <w:rsid w:val="007931DD"/>
    <w:rsid w:val="007944BC"/>
    <w:rsid w:val="00794C29"/>
    <w:rsid w:val="007979F6"/>
    <w:rsid w:val="007A1039"/>
    <w:rsid w:val="007A1484"/>
    <w:rsid w:val="007A21F5"/>
    <w:rsid w:val="007A231D"/>
    <w:rsid w:val="007A257A"/>
    <w:rsid w:val="007A2C1E"/>
    <w:rsid w:val="007A2ED3"/>
    <w:rsid w:val="007A37FA"/>
    <w:rsid w:val="007A3CE1"/>
    <w:rsid w:val="007A5E99"/>
    <w:rsid w:val="007A6590"/>
    <w:rsid w:val="007A671C"/>
    <w:rsid w:val="007A78D6"/>
    <w:rsid w:val="007A78F6"/>
    <w:rsid w:val="007A7D20"/>
    <w:rsid w:val="007A7F04"/>
    <w:rsid w:val="007B3090"/>
    <w:rsid w:val="007B38D8"/>
    <w:rsid w:val="007B3CED"/>
    <w:rsid w:val="007B49A3"/>
    <w:rsid w:val="007B4FF0"/>
    <w:rsid w:val="007B61D1"/>
    <w:rsid w:val="007B699E"/>
    <w:rsid w:val="007B6D7B"/>
    <w:rsid w:val="007C2E56"/>
    <w:rsid w:val="007C3173"/>
    <w:rsid w:val="007C3EFE"/>
    <w:rsid w:val="007C5A1B"/>
    <w:rsid w:val="007C5C66"/>
    <w:rsid w:val="007C62C1"/>
    <w:rsid w:val="007C6A6E"/>
    <w:rsid w:val="007C782F"/>
    <w:rsid w:val="007D0FEF"/>
    <w:rsid w:val="007D2519"/>
    <w:rsid w:val="007D3054"/>
    <w:rsid w:val="007D3B69"/>
    <w:rsid w:val="007D4A8A"/>
    <w:rsid w:val="007D5794"/>
    <w:rsid w:val="007D7708"/>
    <w:rsid w:val="007E0206"/>
    <w:rsid w:val="007E0A23"/>
    <w:rsid w:val="007E2EEA"/>
    <w:rsid w:val="007E33E2"/>
    <w:rsid w:val="007E3FCB"/>
    <w:rsid w:val="007E41AA"/>
    <w:rsid w:val="007E488B"/>
    <w:rsid w:val="007E4C23"/>
    <w:rsid w:val="007E564B"/>
    <w:rsid w:val="007E5D84"/>
    <w:rsid w:val="007E5DD7"/>
    <w:rsid w:val="007E7DD7"/>
    <w:rsid w:val="007E7E7C"/>
    <w:rsid w:val="007F3A50"/>
    <w:rsid w:val="007F4BB0"/>
    <w:rsid w:val="007F57EE"/>
    <w:rsid w:val="007F7F10"/>
    <w:rsid w:val="00800E2F"/>
    <w:rsid w:val="008010BA"/>
    <w:rsid w:val="00801B6F"/>
    <w:rsid w:val="00801C67"/>
    <w:rsid w:val="008025C5"/>
    <w:rsid w:val="00802A46"/>
    <w:rsid w:val="00802C88"/>
    <w:rsid w:val="008038ED"/>
    <w:rsid w:val="0080394A"/>
    <w:rsid w:val="00803B2C"/>
    <w:rsid w:val="00803D86"/>
    <w:rsid w:val="00804BA2"/>
    <w:rsid w:val="00805EE2"/>
    <w:rsid w:val="0080740C"/>
    <w:rsid w:val="00810AF9"/>
    <w:rsid w:val="008111AC"/>
    <w:rsid w:val="00812077"/>
    <w:rsid w:val="0081329C"/>
    <w:rsid w:val="00814803"/>
    <w:rsid w:val="00814BD0"/>
    <w:rsid w:val="00815AC2"/>
    <w:rsid w:val="00817955"/>
    <w:rsid w:val="0082005D"/>
    <w:rsid w:val="0082028D"/>
    <w:rsid w:val="00822A87"/>
    <w:rsid w:val="008239AA"/>
    <w:rsid w:val="00823EB0"/>
    <w:rsid w:val="00824040"/>
    <w:rsid w:val="008250F9"/>
    <w:rsid w:val="00825490"/>
    <w:rsid w:val="00826743"/>
    <w:rsid w:val="00830153"/>
    <w:rsid w:val="00830B62"/>
    <w:rsid w:val="008315A8"/>
    <w:rsid w:val="008322A8"/>
    <w:rsid w:val="00832B2F"/>
    <w:rsid w:val="0083327B"/>
    <w:rsid w:val="00834795"/>
    <w:rsid w:val="0083502B"/>
    <w:rsid w:val="008363CC"/>
    <w:rsid w:val="00837CCE"/>
    <w:rsid w:val="00837F55"/>
    <w:rsid w:val="008417D5"/>
    <w:rsid w:val="0084573E"/>
    <w:rsid w:val="00845D56"/>
    <w:rsid w:val="00846210"/>
    <w:rsid w:val="00846792"/>
    <w:rsid w:val="00846C39"/>
    <w:rsid w:val="00847C9E"/>
    <w:rsid w:val="00847EEB"/>
    <w:rsid w:val="00847FF1"/>
    <w:rsid w:val="00850AC8"/>
    <w:rsid w:val="00850F5F"/>
    <w:rsid w:val="0085107E"/>
    <w:rsid w:val="00851900"/>
    <w:rsid w:val="00855D7C"/>
    <w:rsid w:val="00856739"/>
    <w:rsid w:val="00856E49"/>
    <w:rsid w:val="0085711B"/>
    <w:rsid w:val="0085760F"/>
    <w:rsid w:val="0086160A"/>
    <w:rsid w:val="00861E64"/>
    <w:rsid w:val="00863DCC"/>
    <w:rsid w:val="00863F08"/>
    <w:rsid w:val="00866B0A"/>
    <w:rsid w:val="008706B2"/>
    <w:rsid w:val="00871CBA"/>
    <w:rsid w:val="00872E70"/>
    <w:rsid w:val="00874798"/>
    <w:rsid w:val="00875A19"/>
    <w:rsid w:val="008765CD"/>
    <w:rsid w:val="0087670B"/>
    <w:rsid w:val="00876829"/>
    <w:rsid w:val="00876A20"/>
    <w:rsid w:val="00876AF8"/>
    <w:rsid w:val="00876B03"/>
    <w:rsid w:val="00881261"/>
    <w:rsid w:val="00881525"/>
    <w:rsid w:val="0088307C"/>
    <w:rsid w:val="008839E0"/>
    <w:rsid w:val="0088425A"/>
    <w:rsid w:val="00884834"/>
    <w:rsid w:val="00884CC2"/>
    <w:rsid w:val="00885F5E"/>
    <w:rsid w:val="008864EF"/>
    <w:rsid w:val="00886A80"/>
    <w:rsid w:val="00890421"/>
    <w:rsid w:val="00890964"/>
    <w:rsid w:val="0089248E"/>
    <w:rsid w:val="00892AC6"/>
    <w:rsid w:val="00893338"/>
    <w:rsid w:val="0089584A"/>
    <w:rsid w:val="00896F03"/>
    <w:rsid w:val="008970A2"/>
    <w:rsid w:val="0089760E"/>
    <w:rsid w:val="00897CDD"/>
    <w:rsid w:val="008A01B4"/>
    <w:rsid w:val="008A0CDB"/>
    <w:rsid w:val="008A0FFB"/>
    <w:rsid w:val="008A4D61"/>
    <w:rsid w:val="008A53BF"/>
    <w:rsid w:val="008A5AA9"/>
    <w:rsid w:val="008A6FD1"/>
    <w:rsid w:val="008A7F89"/>
    <w:rsid w:val="008B28A9"/>
    <w:rsid w:val="008B2FD2"/>
    <w:rsid w:val="008B71B3"/>
    <w:rsid w:val="008C17C1"/>
    <w:rsid w:val="008C35C8"/>
    <w:rsid w:val="008C3ABD"/>
    <w:rsid w:val="008C40FB"/>
    <w:rsid w:val="008C42A0"/>
    <w:rsid w:val="008C69BE"/>
    <w:rsid w:val="008C6D1E"/>
    <w:rsid w:val="008C7342"/>
    <w:rsid w:val="008C7823"/>
    <w:rsid w:val="008C785F"/>
    <w:rsid w:val="008D0FAA"/>
    <w:rsid w:val="008D14DF"/>
    <w:rsid w:val="008D1B38"/>
    <w:rsid w:val="008D3300"/>
    <w:rsid w:val="008D3F2E"/>
    <w:rsid w:val="008D41C6"/>
    <w:rsid w:val="008D4A3A"/>
    <w:rsid w:val="008D670B"/>
    <w:rsid w:val="008D6935"/>
    <w:rsid w:val="008E091A"/>
    <w:rsid w:val="008E14B9"/>
    <w:rsid w:val="008E1578"/>
    <w:rsid w:val="008E171B"/>
    <w:rsid w:val="008E1ACF"/>
    <w:rsid w:val="008E228B"/>
    <w:rsid w:val="008E27B5"/>
    <w:rsid w:val="008E3D5F"/>
    <w:rsid w:val="008E4449"/>
    <w:rsid w:val="008E44E0"/>
    <w:rsid w:val="008E55AA"/>
    <w:rsid w:val="008E6793"/>
    <w:rsid w:val="008E681E"/>
    <w:rsid w:val="008E7407"/>
    <w:rsid w:val="008F1299"/>
    <w:rsid w:val="008F1DA8"/>
    <w:rsid w:val="008F2CE2"/>
    <w:rsid w:val="008F4357"/>
    <w:rsid w:val="008F4D7A"/>
    <w:rsid w:val="008F4F66"/>
    <w:rsid w:val="008F59FD"/>
    <w:rsid w:val="008F5C6D"/>
    <w:rsid w:val="008F72ED"/>
    <w:rsid w:val="008F7951"/>
    <w:rsid w:val="008F7BF8"/>
    <w:rsid w:val="008F7CA4"/>
    <w:rsid w:val="00901FBF"/>
    <w:rsid w:val="009023B2"/>
    <w:rsid w:val="009023C2"/>
    <w:rsid w:val="00902892"/>
    <w:rsid w:val="00902D9D"/>
    <w:rsid w:val="009031C4"/>
    <w:rsid w:val="009034BE"/>
    <w:rsid w:val="00903557"/>
    <w:rsid w:val="0090392A"/>
    <w:rsid w:val="00903A44"/>
    <w:rsid w:val="00904B5E"/>
    <w:rsid w:val="0090541C"/>
    <w:rsid w:val="00905FB5"/>
    <w:rsid w:val="00910029"/>
    <w:rsid w:val="00911F67"/>
    <w:rsid w:val="0091200F"/>
    <w:rsid w:val="00912F3F"/>
    <w:rsid w:val="00913AC5"/>
    <w:rsid w:val="00915990"/>
    <w:rsid w:val="00916024"/>
    <w:rsid w:val="009166DF"/>
    <w:rsid w:val="00917FE9"/>
    <w:rsid w:val="00920C34"/>
    <w:rsid w:val="00920D74"/>
    <w:rsid w:val="00920E35"/>
    <w:rsid w:val="00921FA5"/>
    <w:rsid w:val="009226A4"/>
    <w:rsid w:val="00924E0A"/>
    <w:rsid w:val="009252E4"/>
    <w:rsid w:val="0092620C"/>
    <w:rsid w:val="0092622F"/>
    <w:rsid w:val="00926645"/>
    <w:rsid w:val="00927125"/>
    <w:rsid w:val="00927179"/>
    <w:rsid w:val="00927BFA"/>
    <w:rsid w:val="009303F5"/>
    <w:rsid w:val="00932E05"/>
    <w:rsid w:val="00933241"/>
    <w:rsid w:val="009343C1"/>
    <w:rsid w:val="009352B1"/>
    <w:rsid w:val="00935439"/>
    <w:rsid w:val="00937878"/>
    <w:rsid w:val="0094011D"/>
    <w:rsid w:val="009402E0"/>
    <w:rsid w:val="00942237"/>
    <w:rsid w:val="00942ABE"/>
    <w:rsid w:val="00942E3D"/>
    <w:rsid w:val="00943A71"/>
    <w:rsid w:val="009445EE"/>
    <w:rsid w:val="00945649"/>
    <w:rsid w:val="009472F1"/>
    <w:rsid w:val="009475C5"/>
    <w:rsid w:val="009504A1"/>
    <w:rsid w:val="0095076F"/>
    <w:rsid w:val="00952365"/>
    <w:rsid w:val="00954996"/>
    <w:rsid w:val="00954B37"/>
    <w:rsid w:val="009556AF"/>
    <w:rsid w:val="00955B77"/>
    <w:rsid w:val="00955BEE"/>
    <w:rsid w:val="00956135"/>
    <w:rsid w:val="00956244"/>
    <w:rsid w:val="00957031"/>
    <w:rsid w:val="00957274"/>
    <w:rsid w:val="00957598"/>
    <w:rsid w:val="00962245"/>
    <w:rsid w:val="00962326"/>
    <w:rsid w:val="00962F65"/>
    <w:rsid w:val="009645C9"/>
    <w:rsid w:val="00965BDD"/>
    <w:rsid w:val="009661D8"/>
    <w:rsid w:val="009666FB"/>
    <w:rsid w:val="009674DC"/>
    <w:rsid w:val="009678C0"/>
    <w:rsid w:val="00967DC0"/>
    <w:rsid w:val="00970928"/>
    <w:rsid w:val="00971663"/>
    <w:rsid w:val="00973704"/>
    <w:rsid w:val="00973DF5"/>
    <w:rsid w:val="00974B12"/>
    <w:rsid w:val="00974C3E"/>
    <w:rsid w:val="009773E2"/>
    <w:rsid w:val="00977A84"/>
    <w:rsid w:val="0098093F"/>
    <w:rsid w:val="009826F0"/>
    <w:rsid w:val="00983ABD"/>
    <w:rsid w:val="00984761"/>
    <w:rsid w:val="0098555E"/>
    <w:rsid w:val="00986D22"/>
    <w:rsid w:val="00986F14"/>
    <w:rsid w:val="009878C1"/>
    <w:rsid w:val="00990EDF"/>
    <w:rsid w:val="00995077"/>
    <w:rsid w:val="00997DB4"/>
    <w:rsid w:val="009A01F2"/>
    <w:rsid w:val="009A0D6E"/>
    <w:rsid w:val="009A18A6"/>
    <w:rsid w:val="009A19CD"/>
    <w:rsid w:val="009A3269"/>
    <w:rsid w:val="009A4380"/>
    <w:rsid w:val="009A5650"/>
    <w:rsid w:val="009A5F27"/>
    <w:rsid w:val="009A7095"/>
    <w:rsid w:val="009A70D3"/>
    <w:rsid w:val="009A7779"/>
    <w:rsid w:val="009B1A8F"/>
    <w:rsid w:val="009B3296"/>
    <w:rsid w:val="009B5461"/>
    <w:rsid w:val="009B59D3"/>
    <w:rsid w:val="009B5CB7"/>
    <w:rsid w:val="009B647F"/>
    <w:rsid w:val="009B70F5"/>
    <w:rsid w:val="009B7C24"/>
    <w:rsid w:val="009B7FCF"/>
    <w:rsid w:val="009C16E9"/>
    <w:rsid w:val="009C17E6"/>
    <w:rsid w:val="009C1CCB"/>
    <w:rsid w:val="009C27E9"/>
    <w:rsid w:val="009C4C25"/>
    <w:rsid w:val="009C5A27"/>
    <w:rsid w:val="009C5B38"/>
    <w:rsid w:val="009C680A"/>
    <w:rsid w:val="009C7033"/>
    <w:rsid w:val="009C7038"/>
    <w:rsid w:val="009D04C7"/>
    <w:rsid w:val="009D0B4B"/>
    <w:rsid w:val="009D0DE6"/>
    <w:rsid w:val="009D33DC"/>
    <w:rsid w:val="009D3C73"/>
    <w:rsid w:val="009D4A7F"/>
    <w:rsid w:val="009D5468"/>
    <w:rsid w:val="009E00C5"/>
    <w:rsid w:val="009E0284"/>
    <w:rsid w:val="009E045E"/>
    <w:rsid w:val="009E0D89"/>
    <w:rsid w:val="009E1619"/>
    <w:rsid w:val="009E2EB1"/>
    <w:rsid w:val="009E3A57"/>
    <w:rsid w:val="009E651A"/>
    <w:rsid w:val="009E686F"/>
    <w:rsid w:val="009E7352"/>
    <w:rsid w:val="009E7485"/>
    <w:rsid w:val="009E7511"/>
    <w:rsid w:val="009F0068"/>
    <w:rsid w:val="009F097F"/>
    <w:rsid w:val="009F1741"/>
    <w:rsid w:val="009F2137"/>
    <w:rsid w:val="009F4387"/>
    <w:rsid w:val="009F5C6D"/>
    <w:rsid w:val="009F6704"/>
    <w:rsid w:val="009F6759"/>
    <w:rsid w:val="009F6840"/>
    <w:rsid w:val="009F736C"/>
    <w:rsid w:val="00A011EC"/>
    <w:rsid w:val="00A014AD"/>
    <w:rsid w:val="00A01D0B"/>
    <w:rsid w:val="00A02390"/>
    <w:rsid w:val="00A03A05"/>
    <w:rsid w:val="00A07884"/>
    <w:rsid w:val="00A07ABF"/>
    <w:rsid w:val="00A07AD3"/>
    <w:rsid w:val="00A10671"/>
    <w:rsid w:val="00A10EA3"/>
    <w:rsid w:val="00A11A6C"/>
    <w:rsid w:val="00A1248F"/>
    <w:rsid w:val="00A129BA"/>
    <w:rsid w:val="00A12E18"/>
    <w:rsid w:val="00A146E1"/>
    <w:rsid w:val="00A15035"/>
    <w:rsid w:val="00A16852"/>
    <w:rsid w:val="00A169A1"/>
    <w:rsid w:val="00A172ED"/>
    <w:rsid w:val="00A17540"/>
    <w:rsid w:val="00A17687"/>
    <w:rsid w:val="00A17E53"/>
    <w:rsid w:val="00A21543"/>
    <w:rsid w:val="00A21F36"/>
    <w:rsid w:val="00A22925"/>
    <w:rsid w:val="00A22DA0"/>
    <w:rsid w:val="00A24453"/>
    <w:rsid w:val="00A2477B"/>
    <w:rsid w:val="00A247EA"/>
    <w:rsid w:val="00A24C6E"/>
    <w:rsid w:val="00A2530C"/>
    <w:rsid w:val="00A25718"/>
    <w:rsid w:val="00A26684"/>
    <w:rsid w:val="00A277C6"/>
    <w:rsid w:val="00A300E2"/>
    <w:rsid w:val="00A30169"/>
    <w:rsid w:val="00A30EEF"/>
    <w:rsid w:val="00A312EA"/>
    <w:rsid w:val="00A31C19"/>
    <w:rsid w:val="00A32198"/>
    <w:rsid w:val="00A3495B"/>
    <w:rsid w:val="00A35933"/>
    <w:rsid w:val="00A35AB4"/>
    <w:rsid w:val="00A362E9"/>
    <w:rsid w:val="00A36566"/>
    <w:rsid w:val="00A3756B"/>
    <w:rsid w:val="00A37668"/>
    <w:rsid w:val="00A37788"/>
    <w:rsid w:val="00A378A0"/>
    <w:rsid w:val="00A37D0D"/>
    <w:rsid w:val="00A403B3"/>
    <w:rsid w:val="00A41F08"/>
    <w:rsid w:val="00A4233A"/>
    <w:rsid w:val="00A43AD2"/>
    <w:rsid w:val="00A440EF"/>
    <w:rsid w:val="00A46C56"/>
    <w:rsid w:val="00A46FF6"/>
    <w:rsid w:val="00A4764F"/>
    <w:rsid w:val="00A47882"/>
    <w:rsid w:val="00A47EDA"/>
    <w:rsid w:val="00A50D19"/>
    <w:rsid w:val="00A50E37"/>
    <w:rsid w:val="00A52D3E"/>
    <w:rsid w:val="00A54171"/>
    <w:rsid w:val="00A55943"/>
    <w:rsid w:val="00A55CDF"/>
    <w:rsid w:val="00A578DB"/>
    <w:rsid w:val="00A61DEA"/>
    <w:rsid w:val="00A623E4"/>
    <w:rsid w:val="00A64046"/>
    <w:rsid w:val="00A6411A"/>
    <w:rsid w:val="00A647DB"/>
    <w:rsid w:val="00A649D0"/>
    <w:rsid w:val="00A65CD7"/>
    <w:rsid w:val="00A66D97"/>
    <w:rsid w:val="00A6742E"/>
    <w:rsid w:val="00A67CD1"/>
    <w:rsid w:val="00A70398"/>
    <w:rsid w:val="00A71705"/>
    <w:rsid w:val="00A74B7D"/>
    <w:rsid w:val="00A74E3A"/>
    <w:rsid w:val="00A750FF"/>
    <w:rsid w:val="00A77187"/>
    <w:rsid w:val="00A779CE"/>
    <w:rsid w:val="00A833D7"/>
    <w:rsid w:val="00A84904"/>
    <w:rsid w:val="00A8579F"/>
    <w:rsid w:val="00A85BD0"/>
    <w:rsid w:val="00A86215"/>
    <w:rsid w:val="00A86251"/>
    <w:rsid w:val="00A86A06"/>
    <w:rsid w:val="00A877AB"/>
    <w:rsid w:val="00A90654"/>
    <w:rsid w:val="00A92700"/>
    <w:rsid w:val="00A92965"/>
    <w:rsid w:val="00A95970"/>
    <w:rsid w:val="00A95B1A"/>
    <w:rsid w:val="00A95E57"/>
    <w:rsid w:val="00A95E88"/>
    <w:rsid w:val="00A97596"/>
    <w:rsid w:val="00AA0F79"/>
    <w:rsid w:val="00AA2569"/>
    <w:rsid w:val="00AA3F74"/>
    <w:rsid w:val="00AA4605"/>
    <w:rsid w:val="00AA461B"/>
    <w:rsid w:val="00AA50C6"/>
    <w:rsid w:val="00AA6184"/>
    <w:rsid w:val="00AA6224"/>
    <w:rsid w:val="00AB093C"/>
    <w:rsid w:val="00AB1766"/>
    <w:rsid w:val="00AB1934"/>
    <w:rsid w:val="00AB1A6B"/>
    <w:rsid w:val="00AB2695"/>
    <w:rsid w:val="00AB26EF"/>
    <w:rsid w:val="00AB326B"/>
    <w:rsid w:val="00AB3CCE"/>
    <w:rsid w:val="00AB449A"/>
    <w:rsid w:val="00AB5928"/>
    <w:rsid w:val="00AB68EF"/>
    <w:rsid w:val="00AB79A0"/>
    <w:rsid w:val="00AC0785"/>
    <w:rsid w:val="00AC1618"/>
    <w:rsid w:val="00AC278A"/>
    <w:rsid w:val="00AC29AF"/>
    <w:rsid w:val="00AC381A"/>
    <w:rsid w:val="00AC3B85"/>
    <w:rsid w:val="00AC4767"/>
    <w:rsid w:val="00AC59B5"/>
    <w:rsid w:val="00AC5D3A"/>
    <w:rsid w:val="00AC65FA"/>
    <w:rsid w:val="00AC7EAD"/>
    <w:rsid w:val="00AD0525"/>
    <w:rsid w:val="00AD13FB"/>
    <w:rsid w:val="00AD1447"/>
    <w:rsid w:val="00AD1E19"/>
    <w:rsid w:val="00AD235F"/>
    <w:rsid w:val="00AD5134"/>
    <w:rsid w:val="00AD55F4"/>
    <w:rsid w:val="00AD5AB4"/>
    <w:rsid w:val="00AD62C6"/>
    <w:rsid w:val="00AD67E0"/>
    <w:rsid w:val="00AD7B92"/>
    <w:rsid w:val="00AE0158"/>
    <w:rsid w:val="00AE0BC1"/>
    <w:rsid w:val="00AE1913"/>
    <w:rsid w:val="00AE1CB0"/>
    <w:rsid w:val="00AE2032"/>
    <w:rsid w:val="00AE2B1C"/>
    <w:rsid w:val="00AE402F"/>
    <w:rsid w:val="00AE4D84"/>
    <w:rsid w:val="00AE4DF4"/>
    <w:rsid w:val="00AE5B6C"/>
    <w:rsid w:val="00AE5D3A"/>
    <w:rsid w:val="00AE6A18"/>
    <w:rsid w:val="00AE7778"/>
    <w:rsid w:val="00AF3FB5"/>
    <w:rsid w:val="00AF4A8C"/>
    <w:rsid w:val="00AF5210"/>
    <w:rsid w:val="00AF75C9"/>
    <w:rsid w:val="00AF7889"/>
    <w:rsid w:val="00B0196E"/>
    <w:rsid w:val="00B01CEC"/>
    <w:rsid w:val="00B02CF7"/>
    <w:rsid w:val="00B0321F"/>
    <w:rsid w:val="00B04630"/>
    <w:rsid w:val="00B055DB"/>
    <w:rsid w:val="00B056EA"/>
    <w:rsid w:val="00B069F8"/>
    <w:rsid w:val="00B0749D"/>
    <w:rsid w:val="00B074BA"/>
    <w:rsid w:val="00B07F92"/>
    <w:rsid w:val="00B10598"/>
    <w:rsid w:val="00B1280C"/>
    <w:rsid w:val="00B14F3F"/>
    <w:rsid w:val="00B14F98"/>
    <w:rsid w:val="00B15693"/>
    <w:rsid w:val="00B15D1C"/>
    <w:rsid w:val="00B202CE"/>
    <w:rsid w:val="00B21CC8"/>
    <w:rsid w:val="00B22AB5"/>
    <w:rsid w:val="00B2520C"/>
    <w:rsid w:val="00B25967"/>
    <w:rsid w:val="00B26247"/>
    <w:rsid w:val="00B26D9C"/>
    <w:rsid w:val="00B2760E"/>
    <w:rsid w:val="00B2784A"/>
    <w:rsid w:val="00B307ED"/>
    <w:rsid w:val="00B30B32"/>
    <w:rsid w:val="00B3117C"/>
    <w:rsid w:val="00B31BFF"/>
    <w:rsid w:val="00B32893"/>
    <w:rsid w:val="00B32991"/>
    <w:rsid w:val="00B33668"/>
    <w:rsid w:val="00B33725"/>
    <w:rsid w:val="00B33BEB"/>
    <w:rsid w:val="00B343AE"/>
    <w:rsid w:val="00B3511E"/>
    <w:rsid w:val="00B3646A"/>
    <w:rsid w:val="00B36B6F"/>
    <w:rsid w:val="00B36CE9"/>
    <w:rsid w:val="00B400AF"/>
    <w:rsid w:val="00B40AA7"/>
    <w:rsid w:val="00B4134D"/>
    <w:rsid w:val="00B4181A"/>
    <w:rsid w:val="00B45D20"/>
    <w:rsid w:val="00B4677E"/>
    <w:rsid w:val="00B503B1"/>
    <w:rsid w:val="00B50672"/>
    <w:rsid w:val="00B53EFB"/>
    <w:rsid w:val="00B54E33"/>
    <w:rsid w:val="00B56CCC"/>
    <w:rsid w:val="00B60653"/>
    <w:rsid w:val="00B612D9"/>
    <w:rsid w:val="00B6212E"/>
    <w:rsid w:val="00B63554"/>
    <w:rsid w:val="00B6390A"/>
    <w:rsid w:val="00B63DBD"/>
    <w:rsid w:val="00B64041"/>
    <w:rsid w:val="00B65059"/>
    <w:rsid w:val="00B66B56"/>
    <w:rsid w:val="00B671ED"/>
    <w:rsid w:val="00B67DD8"/>
    <w:rsid w:val="00B717A2"/>
    <w:rsid w:val="00B71C55"/>
    <w:rsid w:val="00B74BD6"/>
    <w:rsid w:val="00B752D9"/>
    <w:rsid w:val="00B759F8"/>
    <w:rsid w:val="00B75B46"/>
    <w:rsid w:val="00B76428"/>
    <w:rsid w:val="00B817F2"/>
    <w:rsid w:val="00B82213"/>
    <w:rsid w:val="00B824D0"/>
    <w:rsid w:val="00B84F3E"/>
    <w:rsid w:val="00B8575F"/>
    <w:rsid w:val="00B858DC"/>
    <w:rsid w:val="00B85C77"/>
    <w:rsid w:val="00B85E04"/>
    <w:rsid w:val="00B863E0"/>
    <w:rsid w:val="00B8647A"/>
    <w:rsid w:val="00B86E6D"/>
    <w:rsid w:val="00B876CE"/>
    <w:rsid w:val="00B9089D"/>
    <w:rsid w:val="00B9098E"/>
    <w:rsid w:val="00B90EC8"/>
    <w:rsid w:val="00B920F7"/>
    <w:rsid w:val="00B92EA6"/>
    <w:rsid w:val="00B93399"/>
    <w:rsid w:val="00B939F5"/>
    <w:rsid w:val="00B9520E"/>
    <w:rsid w:val="00B95366"/>
    <w:rsid w:val="00B975BF"/>
    <w:rsid w:val="00BA02FA"/>
    <w:rsid w:val="00BA0B7C"/>
    <w:rsid w:val="00BA218F"/>
    <w:rsid w:val="00BA2957"/>
    <w:rsid w:val="00BA2F2A"/>
    <w:rsid w:val="00BA3DC7"/>
    <w:rsid w:val="00BA45EF"/>
    <w:rsid w:val="00BA5902"/>
    <w:rsid w:val="00BA59BC"/>
    <w:rsid w:val="00BA5EDE"/>
    <w:rsid w:val="00BA6FD0"/>
    <w:rsid w:val="00BA7237"/>
    <w:rsid w:val="00BA7417"/>
    <w:rsid w:val="00BB0D1A"/>
    <w:rsid w:val="00BB2B18"/>
    <w:rsid w:val="00BB311D"/>
    <w:rsid w:val="00BB36FB"/>
    <w:rsid w:val="00BB3AAB"/>
    <w:rsid w:val="00BB409F"/>
    <w:rsid w:val="00BB5852"/>
    <w:rsid w:val="00BB59AF"/>
    <w:rsid w:val="00BB608A"/>
    <w:rsid w:val="00BB6DFB"/>
    <w:rsid w:val="00BB7407"/>
    <w:rsid w:val="00BB7C87"/>
    <w:rsid w:val="00BC05CC"/>
    <w:rsid w:val="00BC1DD5"/>
    <w:rsid w:val="00BC2BC7"/>
    <w:rsid w:val="00BC393E"/>
    <w:rsid w:val="00BC519B"/>
    <w:rsid w:val="00BC5687"/>
    <w:rsid w:val="00BC7697"/>
    <w:rsid w:val="00BC793F"/>
    <w:rsid w:val="00BD0C25"/>
    <w:rsid w:val="00BD118D"/>
    <w:rsid w:val="00BD2945"/>
    <w:rsid w:val="00BD2DAD"/>
    <w:rsid w:val="00BD2F77"/>
    <w:rsid w:val="00BD36BB"/>
    <w:rsid w:val="00BD450C"/>
    <w:rsid w:val="00BD5B88"/>
    <w:rsid w:val="00BD5F53"/>
    <w:rsid w:val="00BD63CC"/>
    <w:rsid w:val="00BD65D6"/>
    <w:rsid w:val="00BD6B13"/>
    <w:rsid w:val="00BE04B4"/>
    <w:rsid w:val="00BE0F2E"/>
    <w:rsid w:val="00BE11F2"/>
    <w:rsid w:val="00BE250E"/>
    <w:rsid w:val="00BE3FB5"/>
    <w:rsid w:val="00BE45DD"/>
    <w:rsid w:val="00BE46CC"/>
    <w:rsid w:val="00BE5590"/>
    <w:rsid w:val="00BE6932"/>
    <w:rsid w:val="00BE763D"/>
    <w:rsid w:val="00BE7F02"/>
    <w:rsid w:val="00BF13C6"/>
    <w:rsid w:val="00BF1E76"/>
    <w:rsid w:val="00BF32BA"/>
    <w:rsid w:val="00BF484D"/>
    <w:rsid w:val="00BF4C3F"/>
    <w:rsid w:val="00BF5773"/>
    <w:rsid w:val="00BF7FA4"/>
    <w:rsid w:val="00C03911"/>
    <w:rsid w:val="00C042A0"/>
    <w:rsid w:val="00C05446"/>
    <w:rsid w:val="00C10D32"/>
    <w:rsid w:val="00C117D3"/>
    <w:rsid w:val="00C1203C"/>
    <w:rsid w:val="00C12930"/>
    <w:rsid w:val="00C13126"/>
    <w:rsid w:val="00C144C3"/>
    <w:rsid w:val="00C15280"/>
    <w:rsid w:val="00C176A5"/>
    <w:rsid w:val="00C17DD3"/>
    <w:rsid w:val="00C17ECD"/>
    <w:rsid w:val="00C20026"/>
    <w:rsid w:val="00C218B5"/>
    <w:rsid w:val="00C21B61"/>
    <w:rsid w:val="00C21BE5"/>
    <w:rsid w:val="00C21F0E"/>
    <w:rsid w:val="00C22296"/>
    <w:rsid w:val="00C22B35"/>
    <w:rsid w:val="00C232E0"/>
    <w:rsid w:val="00C23C20"/>
    <w:rsid w:val="00C23DDF"/>
    <w:rsid w:val="00C23E10"/>
    <w:rsid w:val="00C25288"/>
    <w:rsid w:val="00C25757"/>
    <w:rsid w:val="00C3020D"/>
    <w:rsid w:val="00C30A41"/>
    <w:rsid w:val="00C310E9"/>
    <w:rsid w:val="00C31618"/>
    <w:rsid w:val="00C3188E"/>
    <w:rsid w:val="00C3325C"/>
    <w:rsid w:val="00C3331A"/>
    <w:rsid w:val="00C33C8C"/>
    <w:rsid w:val="00C34880"/>
    <w:rsid w:val="00C34D02"/>
    <w:rsid w:val="00C34EE0"/>
    <w:rsid w:val="00C35B1D"/>
    <w:rsid w:val="00C3779E"/>
    <w:rsid w:val="00C40B06"/>
    <w:rsid w:val="00C4152C"/>
    <w:rsid w:val="00C41B16"/>
    <w:rsid w:val="00C42050"/>
    <w:rsid w:val="00C42B6B"/>
    <w:rsid w:val="00C42FE3"/>
    <w:rsid w:val="00C44E6F"/>
    <w:rsid w:val="00C4597D"/>
    <w:rsid w:val="00C463D2"/>
    <w:rsid w:val="00C46E0F"/>
    <w:rsid w:val="00C50909"/>
    <w:rsid w:val="00C50E58"/>
    <w:rsid w:val="00C51646"/>
    <w:rsid w:val="00C51CDC"/>
    <w:rsid w:val="00C52465"/>
    <w:rsid w:val="00C52603"/>
    <w:rsid w:val="00C527CF"/>
    <w:rsid w:val="00C528E2"/>
    <w:rsid w:val="00C52B52"/>
    <w:rsid w:val="00C53C39"/>
    <w:rsid w:val="00C54F8B"/>
    <w:rsid w:val="00C55162"/>
    <w:rsid w:val="00C55D34"/>
    <w:rsid w:val="00C55D79"/>
    <w:rsid w:val="00C5692E"/>
    <w:rsid w:val="00C57173"/>
    <w:rsid w:val="00C57590"/>
    <w:rsid w:val="00C57D04"/>
    <w:rsid w:val="00C60FB3"/>
    <w:rsid w:val="00C62565"/>
    <w:rsid w:val="00C62C88"/>
    <w:rsid w:val="00C62E0F"/>
    <w:rsid w:val="00C6606A"/>
    <w:rsid w:val="00C66764"/>
    <w:rsid w:val="00C71573"/>
    <w:rsid w:val="00C71A5F"/>
    <w:rsid w:val="00C73D91"/>
    <w:rsid w:val="00C75E00"/>
    <w:rsid w:val="00C768E5"/>
    <w:rsid w:val="00C76F15"/>
    <w:rsid w:val="00C7737F"/>
    <w:rsid w:val="00C77F9A"/>
    <w:rsid w:val="00C80CD0"/>
    <w:rsid w:val="00C8237A"/>
    <w:rsid w:val="00C82FCC"/>
    <w:rsid w:val="00C8307B"/>
    <w:rsid w:val="00C83174"/>
    <w:rsid w:val="00C83C40"/>
    <w:rsid w:val="00C8403F"/>
    <w:rsid w:val="00C84C05"/>
    <w:rsid w:val="00C8526C"/>
    <w:rsid w:val="00C864AE"/>
    <w:rsid w:val="00C8655F"/>
    <w:rsid w:val="00C86F30"/>
    <w:rsid w:val="00C90959"/>
    <w:rsid w:val="00C918FF"/>
    <w:rsid w:val="00C92DA1"/>
    <w:rsid w:val="00C93E7C"/>
    <w:rsid w:val="00C9419A"/>
    <w:rsid w:val="00C942E7"/>
    <w:rsid w:val="00C94B24"/>
    <w:rsid w:val="00C95CE4"/>
    <w:rsid w:val="00CA0075"/>
    <w:rsid w:val="00CA0CE7"/>
    <w:rsid w:val="00CA0FEC"/>
    <w:rsid w:val="00CA2810"/>
    <w:rsid w:val="00CA38D7"/>
    <w:rsid w:val="00CA3D30"/>
    <w:rsid w:val="00CA5285"/>
    <w:rsid w:val="00CA79CD"/>
    <w:rsid w:val="00CA7E03"/>
    <w:rsid w:val="00CB0119"/>
    <w:rsid w:val="00CB0DD7"/>
    <w:rsid w:val="00CB16E5"/>
    <w:rsid w:val="00CB1C88"/>
    <w:rsid w:val="00CB272E"/>
    <w:rsid w:val="00CB2A02"/>
    <w:rsid w:val="00CB543E"/>
    <w:rsid w:val="00CB5B27"/>
    <w:rsid w:val="00CB6389"/>
    <w:rsid w:val="00CB7757"/>
    <w:rsid w:val="00CB7EAB"/>
    <w:rsid w:val="00CC178D"/>
    <w:rsid w:val="00CC26A8"/>
    <w:rsid w:val="00CC2E43"/>
    <w:rsid w:val="00CC31BA"/>
    <w:rsid w:val="00CC4070"/>
    <w:rsid w:val="00CC450F"/>
    <w:rsid w:val="00CC4E0E"/>
    <w:rsid w:val="00CC5809"/>
    <w:rsid w:val="00CC6CC5"/>
    <w:rsid w:val="00CC779C"/>
    <w:rsid w:val="00CD2168"/>
    <w:rsid w:val="00CD2670"/>
    <w:rsid w:val="00CD2BA4"/>
    <w:rsid w:val="00CD2CA8"/>
    <w:rsid w:val="00CD3241"/>
    <w:rsid w:val="00CD399A"/>
    <w:rsid w:val="00CD3C49"/>
    <w:rsid w:val="00CD40D4"/>
    <w:rsid w:val="00CD65C5"/>
    <w:rsid w:val="00CD6C35"/>
    <w:rsid w:val="00CD757E"/>
    <w:rsid w:val="00CD7636"/>
    <w:rsid w:val="00CE1431"/>
    <w:rsid w:val="00CE2281"/>
    <w:rsid w:val="00CE24BA"/>
    <w:rsid w:val="00CE2DED"/>
    <w:rsid w:val="00CE32D1"/>
    <w:rsid w:val="00CE5C51"/>
    <w:rsid w:val="00CE7D8E"/>
    <w:rsid w:val="00CF03DD"/>
    <w:rsid w:val="00CF19FF"/>
    <w:rsid w:val="00CF2DCD"/>
    <w:rsid w:val="00CF30BE"/>
    <w:rsid w:val="00CF3D17"/>
    <w:rsid w:val="00CF47E2"/>
    <w:rsid w:val="00CF563A"/>
    <w:rsid w:val="00CF6D53"/>
    <w:rsid w:val="00CF7826"/>
    <w:rsid w:val="00D00454"/>
    <w:rsid w:val="00D01116"/>
    <w:rsid w:val="00D01394"/>
    <w:rsid w:val="00D037A6"/>
    <w:rsid w:val="00D03D79"/>
    <w:rsid w:val="00D04A9D"/>
    <w:rsid w:val="00D0715D"/>
    <w:rsid w:val="00D07979"/>
    <w:rsid w:val="00D12404"/>
    <w:rsid w:val="00D12D94"/>
    <w:rsid w:val="00D13C4B"/>
    <w:rsid w:val="00D158C5"/>
    <w:rsid w:val="00D15CA7"/>
    <w:rsid w:val="00D16EC4"/>
    <w:rsid w:val="00D1724A"/>
    <w:rsid w:val="00D17787"/>
    <w:rsid w:val="00D20821"/>
    <w:rsid w:val="00D217E8"/>
    <w:rsid w:val="00D21CF6"/>
    <w:rsid w:val="00D21D44"/>
    <w:rsid w:val="00D2291B"/>
    <w:rsid w:val="00D22929"/>
    <w:rsid w:val="00D23A15"/>
    <w:rsid w:val="00D23B68"/>
    <w:rsid w:val="00D2504A"/>
    <w:rsid w:val="00D250BA"/>
    <w:rsid w:val="00D27A59"/>
    <w:rsid w:val="00D27ABC"/>
    <w:rsid w:val="00D308B5"/>
    <w:rsid w:val="00D318A3"/>
    <w:rsid w:val="00D31CE7"/>
    <w:rsid w:val="00D3342F"/>
    <w:rsid w:val="00D33B32"/>
    <w:rsid w:val="00D34E0E"/>
    <w:rsid w:val="00D360BE"/>
    <w:rsid w:val="00D375E7"/>
    <w:rsid w:val="00D41203"/>
    <w:rsid w:val="00D42B38"/>
    <w:rsid w:val="00D45700"/>
    <w:rsid w:val="00D461B0"/>
    <w:rsid w:val="00D46902"/>
    <w:rsid w:val="00D46EF7"/>
    <w:rsid w:val="00D506D9"/>
    <w:rsid w:val="00D524ED"/>
    <w:rsid w:val="00D531D3"/>
    <w:rsid w:val="00D53CFF"/>
    <w:rsid w:val="00D54299"/>
    <w:rsid w:val="00D54434"/>
    <w:rsid w:val="00D55384"/>
    <w:rsid w:val="00D553A4"/>
    <w:rsid w:val="00D57487"/>
    <w:rsid w:val="00D602B0"/>
    <w:rsid w:val="00D611C6"/>
    <w:rsid w:val="00D62511"/>
    <w:rsid w:val="00D62563"/>
    <w:rsid w:val="00D63C9D"/>
    <w:rsid w:val="00D65003"/>
    <w:rsid w:val="00D659A0"/>
    <w:rsid w:val="00D666E9"/>
    <w:rsid w:val="00D668E6"/>
    <w:rsid w:val="00D67326"/>
    <w:rsid w:val="00D70684"/>
    <w:rsid w:val="00D71C72"/>
    <w:rsid w:val="00D73CB4"/>
    <w:rsid w:val="00D73FCA"/>
    <w:rsid w:val="00D74327"/>
    <w:rsid w:val="00D7646E"/>
    <w:rsid w:val="00D7672E"/>
    <w:rsid w:val="00D76A0D"/>
    <w:rsid w:val="00D76D0A"/>
    <w:rsid w:val="00D7765F"/>
    <w:rsid w:val="00D77FCA"/>
    <w:rsid w:val="00D81855"/>
    <w:rsid w:val="00D84465"/>
    <w:rsid w:val="00D8694A"/>
    <w:rsid w:val="00D8705A"/>
    <w:rsid w:val="00D877C4"/>
    <w:rsid w:val="00D87958"/>
    <w:rsid w:val="00D87D20"/>
    <w:rsid w:val="00D91E28"/>
    <w:rsid w:val="00D92177"/>
    <w:rsid w:val="00D92475"/>
    <w:rsid w:val="00D94306"/>
    <w:rsid w:val="00D95531"/>
    <w:rsid w:val="00D95624"/>
    <w:rsid w:val="00D95E24"/>
    <w:rsid w:val="00DA066D"/>
    <w:rsid w:val="00DA1135"/>
    <w:rsid w:val="00DA1729"/>
    <w:rsid w:val="00DA1B5D"/>
    <w:rsid w:val="00DA33EF"/>
    <w:rsid w:val="00DA4837"/>
    <w:rsid w:val="00DA5AFF"/>
    <w:rsid w:val="00DA5D39"/>
    <w:rsid w:val="00DA7B9C"/>
    <w:rsid w:val="00DB0D99"/>
    <w:rsid w:val="00DB1B98"/>
    <w:rsid w:val="00DB24DF"/>
    <w:rsid w:val="00DB4229"/>
    <w:rsid w:val="00DB4CA7"/>
    <w:rsid w:val="00DB59A2"/>
    <w:rsid w:val="00DB7CFA"/>
    <w:rsid w:val="00DC06D3"/>
    <w:rsid w:val="00DC0FE1"/>
    <w:rsid w:val="00DC2194"/>
    <w:rsid w:val="00DC38B5"/>
    <w:rsid w:val="00DC3C2E"/>
    <w:rsid w:val="00DC588F"/>
    <w:rsid w:val="00DC65E3"/>
    <w:rsid w:val="00DD096F"/>
    <w:rsid w:val="00DD1393"/>
    <w:rsid w:val="00DD13C7"/>
    <w:rsid w:val="00DD16BA"/>
    <w:rsid w:val="00DD1967"/>
    <w:rsid w:val="00DD19D2"/>
    <w:rsid w:val="00DD2025"/>
    <w:rsid w:val="00DD2468"/>
    <w:rsid w:val="00DD423B"/>
    <w:rsid w:val="00DD475E"/>
    <w:rsid w:val="00DD5BFC"/>
    <w:rsid w:val="00DE14F7"/>
    <w:rsid w:val="00DE20EC"/>
    <w:rsid w:val="00DE2CCD"/>
    <w:rsid w:val="00DE32DA"/>
    <w:rsid w:val="00DE391A"/>
    <w:rsid w:val="00DE776B"/>
    <w:rsid w:val="00DF11AE"/>
    <w:rsid w:val="00DF2025"/>
    <w:rsid w:val="00DF4961"/>
    <w:rsid w:val="00DF4C55"/>
    <w:rsid w:val="00DF4E82"/>
    <w:rsid w:val="00DF5E89"/>
    <w:rsid w:val="00DF63B4"/>
    <w:rsid w:val="00DF642A"/>
    <w:rsid w:val="00DF64B7"/>
    <w:rsid w:val="00DF7234"/>
    <w:rsid w:val="00DF738E"/>
    <w:rsid w:val="00DF79F4"/>
    <w:rsid w:val="00DF7E96"/>
    <w:rsid w:val="00DF7F2B"/>
    <w:rsid w:val="00DF7F59"/>
    <w:rsid w:val="00E0005A"/>
    <w:rsid w:val="00E01316"/>
    <w:rsid w:val="00E02AD4"/>
    <w:rsid w:val="00E02C44"/>
    <w:rsid w:val="00E02DD4"/>
    <w:rsid w:val="00E03936"/>
    <w:rsid w:val="00E041D7"/>
    <w:rsid w:val="00E049DC"/>
    <w:rsid w:val="00E05BD6"/>
    <w:rsid w:val="00E0662E"/>
    <w:rsid w:val="00E066D2"/>
    <w:rsid w:val="00E108DB"/>
    <w:rsid w:val="00E116A3"/>
    <w:rsid w:val="00E12CD7"/>
    <w:rsid w:val="00E12DBD"/>
    <w:rsid w:val="00E13003"/>
    <w:rsid w:val="00E13295"/>
    <w:rsid w:val="00E13CE1"/>
    <w:rsid w:val="00E16047"/>
    <w:rsid w:val="00E21101"/>
    <w:rsid w:val="00E21953"/>
    <w:rsid w:val="00E22573"/>
    <w:rsid w:val="00E22D3F"/>
    <w:rsid w:val="00E235E5"/>
    <w:rsid w:val="00E23B23"/>
    <w:rsid w:val="00E249A0"/>
    <w:rsid w:val="00E24AA4"/>
    <w:rsid w:val="00E258B6"/>
    <w:rsid w:val="00E279EA"/>
    <w:rsid w:val="00E27E14"/>
    <w:rsid w:val="00E30567"/>
    <w:rsid w:val="00E3158D"/>
    <w:rsid w:val="00E323C6"/>
    <w:rsid w:val="00E3396F"/>
    <w:rsid w:val="00E33A82"/>
    <w:rsid w:val="00E34B11"/>
    <w:rsid w:val="00E3590D"/>
    <w:rsid w:val="00E41AEA"/>
    <w:rsid w:val="00E41EA8"/>
    <w:rsid w:val="00E4337D"/>
    <w:rsid w:val="00E438F4"/>
    <w:rsid w:val="00E44D16"/>
    <w:rsid w:val="00E466B6"/>
    <w:rsid w:val="00E46E95"/>
    <w:rsid w:val="00E5084E"/>
    <w:rsid w:val="00E50B3D"/>
    <w:rsid w:val="00E50D1D"/>
    <w:rsid w:val="00E51BD0"/>
    <w:rsid w:val="00E521FD"/>
    <w:rsid w:val="00E52456"/>
    <w:rsid w:val="00E536A1"/>
    <w:rsid w:val="00E53F4B"/>
    <w:rsid w:val="00E54417"/>
    <w:rsid w:val="00E55E3B"/>
    <w:rsid w:val="00E56EC5"/>
    <w:rsid w:val="00E577A8"/>
    <w:rsid w:val="00E57CF9"/>
    <w:rsid w:val="00E628DA"/>
    <w:rsid w:val="00E62C80"/>
    <w:rsid w:val="00E64450"/>
    <w:rsid w:val="00E64614"/>
    <w:rsid w:val="00E657C7"/>
    <w:rsid w:val="00E6588F"/>
    <w:rsid w:val="00E65924"/>
    <w:rsid w:val="00E66402"/>
    <w:rsid w:val="00E703F9"/>
    <w:rsid w:val="00E7147B"/>
    <w:rsid w:val="00E71669"/>
    <w:rsid w:val="00E72C57"/>
    <w:rsid w:val="00E75BF9"/>
    <w:rsid w:val="00E761C1"/>
    <w:rsid w:val="00E76E6D"/>
    <w:rsid w:val="00E771B3"/>
    <w:rsid w:val="00E8059A"/>
    <w:rsid w:val="00E831C8"/>
    <w:rsid w:val="00E83995"/>
    <w:rsid w:val="00E848D2"/>
    <w:rsid w:val="00E84FB2"/>
    <w:rsid w:val="00E8531E"/>
    <w:rsid w:val="00E932A1"/>
    <w:rsid w:val="00E937D6"/>
    <w:rsid w:val="00E93F48"/>
    <w:rsid w:val="00E9415C"/>
    <w:rsid w:val="00E957B7"/>
    <w:rsid w:val="00E96387"/>
    <w:rsid w:val="00E96519"/>
    <w:rsid w:val="00E96858"/>
    <w:rsid w:val="00E96A2F"/>
    <w:rsid w:val="00EA010B"/>
    <w:rsid w:val="00EA01BB"/>
    <w:rsid w:val="00EA2C42"/>
    <w:rsid w:val="00EA2C78"/>
    <w:rsid w:val="00EA339A"/>
    <w:rsid w:val="00EA33C6"/>
    <w:rsid w:val="00EA3873"/>
    <w:rsid w:val="00EA4CE4"/>
    <w:rsid w:val="00EA53D4"/>
    <w:rsid w:val="00EA5B56"/>
    <w:rsid w:val="00EA6813"/>
    <w:rsid w:val="00EA6A4A"/>
    <w:rsid w:val="00EA6CBE"/>
    <w:rsid w:val="00EB1260"/>
    <w:rsid w:val="00EB34B6"/>
    <w:rsid w:val="00EB38B6"/>
    <w:rsid w:val="00EB3B0C"/>
    <w:rsid w:val="00EB5543"/>
    <w:rsid w:val="00EB645A"/>
    <w:rsid w:val="00EB673B"/>
    <w:rsid w:val="00EB67E1"/>
    <w:rsid w:val="00EB7269"/>
    <w:rsid w:val="00EB7278"/>
    <w:rsid w:val="00EC0340"/>
    <w:rsid w:val="00EC1337"/>
    <w:rsid w:val="00EC1483"/>
    <w:rsid w:val="00EC150D"/>
    <w:rsid w:val="00EC16F2"/>
    <w:rsid w:val="00EC2BEF"/>
    <w:rsid w:val="00EC2C8E"/>
    <w:rsid w:val="00EC31A3"/>
    <w:rsid w:val="00EC42B6"/>
    <w:rsid w:val="00EC44C8"/>
    <w:rsid w:val="00EC49B0"/>
    <w:rsid w:val="00EC6E61"/>
    <w:rsid w:val="00EC7567"/>
    <w:rsid w:val="00EC7BC8"/>
    <w:rsid w:val="00EC7D10"/>
    <w:rsid w:val="00ED00A1"/>
    <w:rsid w:val="00ED0161"/>
    <w:rsid w:val="00ED0947"/>
    <w:rsid w:val="00ED1B4A"/>
    <w:rsid w:val="00ED2E80"/>
    <w:rsid w:val="00ED4A35"/>
    <w:rsid w:val="00ED4ED6"/>
    <w:rsid w:val="00ED569F"/>
    <w:rsid w:val="00ED57A1"/>
    <w:rsid w:val="00ED585C"/>
    <w:rsid w:val="00ED6637"/>
    <w:rsid w:val="00ED67F3"/>
    <w:rsid w:val="00EE1AED"/>
    <w:rsid w:val="00EE3890"/>
    <w:rsid w:val="00EE65BC"/>
    <w:rsid w:val="00EE6CD7"/>
    <w:rsid w:val="00EE75EB"/>
    <w:rsid w:val="00EE7819"/>
    <w:rsid w:val="00EF0FEF"/>
    <w:rsid w:val="00EF2CEB"/>
    <w:rsid w:val="00EF3D95"/>
    <w:rsid w:val="00EF46A0"/>
    <w:rsid w:val="00EF4C44"/>
    <w:rsid w:val="00EF4DB2"/>
    <w:rsid w:val="00EF588B"/>
    <w:rsid w:val="00EF751F"/>
    <w:rsid w:val="00F007FD"/>
    <w:rsid w:val="00F0172D"/>
    <w:rsid w:val="00F01B4F"/>
    <w:rsid w:val="00F01BEE"/>
    <w:rsid w:val="00F028DB"/>
    <w:rsid w:val="00F040DF"/>
    <w:rsid w:val="00F04658"/>
    <w:rsid w:val="00F0490F"/>
    <w:rsid w:val="00F04F41"/>
    <w:rsid w:val="00F0502E"/>
    <w:rsid w:val="00F052B5"/>
    <w:rsid w:val="00F05879"/>
    <w:rsid w:val="00F05F8B"/>
    <w:rsid w:val="00F060AE"/>
    <w:rsid w:val="00F065A9"/>
    <w:rsid w:val="00F07858"/>
    <w:rsid w:val="00F07D2A"/>
    <w:rsid w:val="00F07F9E"/>
    <w:rsid w:val="00F103C9"/>
    <w:rsid w:val="00F111D0"/>
    <w:rsid w:val="00F1217F"/>
    <w:rsid w:val="00F123CA"/>
    <w:rsid w:val="00F12DC8"/>
    <w:rsid w:val="00F13062"/>
    <w:rsid w:val="00F13558"/>
    <w:rsid w:val="00F13BF1"/>
    <w:rsid w:val="00F143BE"/>
    <w:rsid w:val="00F14A8B"/>
    <w:rsid w:val="00F14F0E"/>
    <w:rsid w:val="00F15D7C"/>
    <w:rsid w:val="00F16991"/>
    <w:rsid w:val="00F16CFE"/>
    <w:rsid w:val="00F17772"/>
    <w:rsid w:val="00F20281"/>
    <w:rsid w:val="00F2036B"/>
    <w:rsid w:val="00F2104E"/>
    <w:rsid w:val="00F2178E"/>
    <w:rsid w:val="00F224A6"/>
    <w:rsid w:val="00F23D24"/>
    <w:rsid w:val="00F23FA8"/>
    <w:rsid w:val="00F26F37"/>
    <w:rsid w:val="00F30762"/>
    <w:rsid w:val="00F307B0"/>
    <w:rsid w:val="00F30A76"/>
    <w:rsid w:val="00F32E76"/>
    <w:rsid w:val="00F34352"/>
    <w:rsid w:val="00F346B3"/>
    <w:rsid w:val="00F36889"/>
    <w:rsid w:val="00F36D95"/>
    <w:rsid w:val="00F3729F"/>
    <w:rsid w:val="00F40667"/>
    <w:rsid w:val="00F41A5B"/>
    <w:rsid w:val="00F41B4C"/>
    <w:rsid w:val="00F42218"/>
    <w:rsid w:val="00F42510"/>
    <w:rsid w:val="00F43D63"/>
    <w:rsid w:val="00F4411E"/>
    <w:rsid w:val="00F452D5"/>
    <w:rsid w:val="00F467DE"/>
    <w:rsid w:val="00F46B71"/>
    <w:rsid w:val="00F46BA8"/>
    <w:rsid w:val="00F50103"/>
    <w:rsid w:val="00F50FB0"/>
    <w:rsid w:val="00F511A4"/>
    <w:rsid w:val="00F51216"/>
    <w:rsid w:val="00F51760"/>
    <w:rsid w:val="00F51CA1"/>
    <w:rsid w:val="00F5201D"/>
    <w:rsid w:val="00F52094"/>
    <w:rsid w:val="00F53283"/>
    <w:rsid w:val="00F553DF"/>
    <w:rsid w:val="00F55F85"/>
    <w:rsid w:val="00F60744"/>
    <w:rsid w:val="00F622B5"/>
    <w:rsid w:val="00F623F7"/>
    <w:rsid w:val="00F64524"/>
    <w:rsid w:val="00F645D4"/>
    <w:rsid w:val="00F654E1"/>
    <w:rsid w:val="00F65DB3"/>
    <w:rsid w:val="00F663AA"/>
    <w:rsid w:val="00F66601"/>
    <w:rsid w:val="00F67927"/>
    <w:rsid w:val="00F70559"/>
    <w:rsid w:val="00F70F07"/>
    <w:rsid w:val="00F7266E"/>
    <w:rsid w:val="00F7337B"/>
    <w:rsid w:val="00F74FB8"/>
    <w:rsid w:val="00F75DDE"/>
    <w:rsid w:val="00F7628C"/>
    <w:rsid w:val="00F7633C"/>
    <w:rsid w:val="00F80EA6"/>
    <w:rsid w:val="00F81027"/>
    <w:rsid w:val="00F816BC"/>
    <w:rsid w:val="00F81902"/>
    <w:rsid w:val="00F82FCF"/>
    <w:rsid w:val="00F84164"/>
    <w:rsid w:val="00F85D5A"/>
    <w:rsid w:val="00F86353"/>
    <w:rsid w:val="00F86BF0"/>
    <w:rsid w:val="00F873CE"/>
    <w:rsid w:val="00F90118"/>
    <w:rsid w:val="00F91398"/>
    <w:rsid w:val="00F919F5"/>
    <w:rsid w:val="00F91E85"/>
    <w:rsid w:val="00F92120"/>
    <w:rsid w:val="00F937C6"/>
    <w:rsid w:val="00F94B72"/>
    <w:rsid w:val="00F95E62"/>
    <w:rsid w:val="00F97718"/>
    <w:rsid w:val="00F97B7C"/>
    <w:rsid w:val="00FA00F3"/>
    <w:rsid w:val="00FA05E9"/>
    <w:rsid w:val="00FA10A3"/>
    <w:rsid w:val="00FA11AD"/>
    <w:rsid w:val="00FA1949"/>
    <w:rsid w:val="00FA2A2D"/>
    <w:rsid w:val="00FA2D81"/>
    <w:rsid w:val="00FA3265"/>
    <w:rsid w:val="00FA6783"/>
    <w:rsid w:val="00FA780F"/>
    <w:rsid w:val="00FA7DBB"/>
    <w:rsid w:val="00FA7E96"/>
    <w:rsid w:val="00FB10F0"/>
    <w:rsid w:val="00FB1D49"/>
    <w:rsid w:val="00FB2616"/>
    <w:rsid w:val="00FB2E24"/>
    <w:rsid w:val="00FB36B9"/>
    <w:rsid w:val="00FB3BA9"/>
    <w:rsid w:val="00FB3CF0"/>
    <w:rsid w:val="00FB4D3B"/>
    <w:rsid w:val="00FB4F07"/>
    <w:rsid w:val="00FB52A1"/>
    <w:rsid w:val="00FB5649"/>
    <w:rsid w:val="00FB6B76"/>
    <w:rsid w:val="00FC2C10"/>
    <w:rsid w:val="00FC34BD"/>
    <w:rsid w:val="00FC363E"/>
    <w:rsid w:val="00FC4141"/>
    <w:rsid w:val="00FC4CF8"/>
    <w:rsid w:val="00FC618D"/>
    <w:rsid w:val="00FC6DF3"/>
    <w:rsid w:val="00FD2D10"/>
    <w:rsid w:val="00FD4266"/>
    <w:rsid w:val="00FD5FC6"/>
    <w:rsid w:val="00FD67F6"/>
    <w:rsid w:val="00FE00EC"/>
    <w:rsid w:val="00FE0532"/>
    <w:rsid w:val="00FE0AED"/>
    <w:rsid w:val="00FE15D0"/>
    <w:rsid w:val="00FE18F0"/>
    <w:rsid w:val="00FE1FE9"/>
    <w:rsid w:val="00FE2D05"/>
    <w:rsid w:val="00FE4475"/>
    <w:rsid w:val="00FE4520"/>
    <w:rsid w:val="00FE4B00"/>
    <w:rsid w:val="00FE534C"/>
    <w:rsid w:val="00FE7766"/>
    <w:rsid w:val="00FE7C56"/>
    <w:rsid w:val="00FF07FF"/>
    <w:rsid w:val="00FF2552"/>
    <w:rsid w:val="00FF2D49"/>
    <w:rsid w:val="00FF33CF"/>
    <w:rsid w:val="00FF585C"/>
    <w:rsid w:val="00FF5DFF"/>
    <w:rsid w:val="00FF5E50"/>
    <w:rsid w:val="00FF6CB2"/>
    <w:rsid w:val="00FF726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5537"/>
    <o:shapelayout v:ext="edit">
      <o:idmap v:ext="edit" data="1"/>
    </o:shapelayout>
  </w:shapeDefaults>
  <w:decimalSymbol w:val="."/>
  <w:listSeparator w:val=","/>
  <w14:docId w14:val="467A16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926645"/>
    <w:pPr>
      <w:keepNext/>
      <w:keepLines/>
      <w:numPr>
        <w:numId w:val="1"/>
      </w:numPr>
      <w:spacing w:before="480"/>
      <w:outlineLvl w:val="0"/>
    </w:pPr>
    <w:rPr>
      <w:rFonts w:eastAsiaTheme="majorEastAsia" w:cstheme="majorBidi"/>
      <w:b/>
      <w:bCs/>
      <w:color w:val="1168A9"/>
      <w:sz w:val="32"/>
      <w:szCs w:val="28"/>
    </w:rPr>
  </w:style>
  <w:style w:type="paragraph" w:styleId="Heading2">
    <w:name w:val="heading 2"/>
    <w:basedOn w:val="Heading1"/>
    <w:next w:val="Normal"/>
    <w:link w:val="Heading2Char"/>
    <w:uiPriority w:val="9"/>
    <w:unhideWhenUsed/>
    <w:qFormat/>
    <w:rsid w:val="00B0196E"/>
    <w:pPr>
      <w:numPr>
        <w:numId w:val="0"/>
      </w:numPr>
      <w:spacing w:before="0"/>
      <w:outlineLvl w:val="1"/>
    </w:pPr>
    <w:rPr>
      <w:sz w:val="28"/>
    </w:rPr>
  </w:style>
  <w:style w:type="paragraph" w:styleId="Heading3">
    <w:name w:val="heading 3"/>
    <w:basedOn w:val="Normal"/>
    <w:next w:val="Normal"/>
    <w:link w:val="Heading3Char"/>
    <w:uiPriority w:val="9"/>
    <w:unhideWhenUsed/>
    <w:qFormat/>
    <w:rsid w:val="00DF4961"/>
    <w:pPr>
      <w:spacing w:line="276" w:lineRule="auto"/>
      <w:outlineLvl w:val="2"/>
    </w:pPr>
    <w:rPr>
      <w:rFonts w:eastAsiaTheme="majorEastAsia" w:cstheme="majorBidi"/>
      <w:b/>
      <w:bCs/>
      <w:iCs/>
      <w:color w:val="1168A9"/>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6645"/>
    <w:rPr>
      <w:rFonts w:ascii="Arial" w:eastAsiaTheme="majorEastAsia" w:hAnsi="Arial" w:cstheme="majorBidi"/>
      <w:b/>
      <w:bCs/>
      <w:color w:val="1168A9"/>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30420F"/>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B0196E"/>
    <w:rPr>
      <w:rFonts w:ascii="Arial" w:eastAsiaTheme="majorEastAsia" w:hAnsi="Arial" w:cstheme="majorBidi"/>
      <w:b/>
      <w:bCs/>
      <w:color w:val="1168A9"/>
      <w:sz w:val="28"/>
      <w:szCs w:val="28"/>
    </w:rPr>
  </w:style>
  <w:style w:type="character" w:customStyle="1" w:styleId="Heading3Char">
    <w:name w:val="Heading 3 Char"/>
    <w:basedOn w:val="DefaultParagraphFont"/>
    <w:link w:val="Heading3"/>
    <w:uiPriority w:val="9"/>
    <w:rsid w:val="00DF4961"/>
    <w:rPr>
      <w:rFonts w:ascii="Arial" w:eastAsiaTheme="majorEastAsia" w:hAnsi="Arial" w:cstheme="majorBidi"/>
      <w:b/>
      <w:bCs/>
      <w:iCs/>
      <w:color w:val="1168A9"/>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2"/>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3"/>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 w:type="character" w:customStyle="1" w:styleId="boldit">
    <w:name w:val="boldit"/>
    <w:basedOn w:val="DefaultParagraphFont"/>
    <w:rsid w:val="00086CD2"/>
  </w:style>
  <w:style w:type="character" w:styleId="HTMLAcronym">
    <w:name w:val="HTML Acronym"/>
    <w:basedOn w:val="DefaultParagraphFont"/>
    <w:uiPriority w:val="99"/>
    <w:semiHidden/>
    <w:unhideWhenUsed/>
    <w:rsid w:val="0046203D"/>
  </w:style>
  <w:style w:type="character" w:customStyle="1" w:styleId="A6">
    <w:name w:val="A6"/>
    <w:uiPriority w:val="99"/>
    <w:rsid w:val="0046203D"/>
    <w:rPr>
      <w:color w:val="000000"/>
      <w:sz w:val="36"/>
      <w:szCs w:val="36"/>
    </w:rPr>
  </w:style>
  <w:style w:type="character" w:customStyle="1" w:styleId="A3">
    <w:name w:val="A3"/>
    <w:uiPriority w:val="99"/>
    <w:rsid w:val="0046203D"/>
    <w:rPr>
      <w:b/>
      <w:bCs/>
      <w:color w:val="000000"/>
      <w:sz w:val="28"/>
      <w:szCs w:val="28"/>
    </w:rPr>
  </w:style>
  <w:style w:type="paragraph" w:customStyle="1" w:styleId="BodyText-nospacebelow">
    <w:name w:val="Body Text - no space below"/>
    <w:basedOn w:val="BodyText"/>
    <w:qFormat/>
    <w:locked/>
    <w:rsid w:val="00971663"/>
    <w:pPr>
      <w:spacing w:line="276" w:lineRule="auto"/>
      <w:jc w:val="left"/>
    </w:pPr>
    <w:rPr>
      <w:rFonts w:eastAsiaTheme="minorHAnsi" w:cstheme="minorBidi"/>
      <w:color w:val="3C3C3C"/>
      <w:sz w:val="24"/>
      <w:szCs w:val="22"/>
    </w:rPr>
  </w:style>
  <w:style w:type="character" w:styleId="SubtleReference">
    <w:name w:val="Subtle Reference"/>
    <w:basedOn w:val="DefaultParagraphFont"/>
    <w:uiPriority w:val="31"/>
    <w:qFormat/>
    <w:rsid w:val="00243938"/>
    <w:rPr>
      <w:smallCaps/>
      <w:color w:val="C0504D" w:themeColor="accent2"/>
      <w:u w:val="single"/>
    </w:rPr>
  </w:style>
  <w:style w:type="character" w:customStyle="1" w:styleId="UnresolvedMention">
    <w:name w:val="Unresolved Mention"/>
    <w:basedOn w:val="DefaultParagraphFont"/>
    <w:uiPriority w:val="99"/>
    <w:semiHidden/>
    <w:unhideWhenUsed/>
    <w:rsid w:val="009B3296"/>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926645"/>
    <w:pPr>
      <w:keepNext/>
      <w:keepLines/>
      <w:numPr>
        <w:numId w:val="1"/>
      </w:numPr>
      <w:spacing w:before="480"/>
      <w:outlineLvl w:val="0"/>
    </w:pPr>
    <w:rPr>
      <w:rFonts w:eastAsiaTheme="majorEastAsia" w:cstheme="majorBidi"/>
      <w:b/>
      <w:bCs/>
      <w:color w:val="1168A9"/>
      <w:sz w:val="32"/>
      <w:szCs w:val="28"/>
    </w:rPr>
  </w:style>
  <w:style w:type="paragraph" w:styleId="Heading2">
    <w:name w:val="heading 2"/>
    <w:basedOn w:val="Heading1"/>
    <w:next w:val="Normal"/>
    <w:link w:val="Heading2Char"/>
    <w:uiPriority w:val="9"/>
    <w:unhideWhenUsed/>
    <w:qFormat/>
    <w:rsid w:val="00B0196E"/>
    <w:pPr>
      <w:numPr>
        <w:numId w:val="0"/>
      </w:numPr>
      <w:spacing w:before="0"/>
      <w:outlineLvl w:val="1"/>
    </w:pPr>
    <w:rPr>
      <w:sz w:val="28"/>
    </w:rPr>
  </w:style>
  <w:style w:type="paragraph" w:styleId="Heading3">
    <w:name w:val="heading 3"/>
    <w:basedOn w:val="Normal"/>
    <w:next w:val="Normal"/>
    <w:link w:val="Heading3Char"/>
    <w:uiPriority w:val="9"/>
    <w:unhideWhenUsed/>
    <w:qFormat/>
    <w:rsid w:val="00DF4961"/>
    <w:pPr>
      <w:spacing w:line="276" w:lineRule="auto"/>
      <w:outlineLvl w:val="2"/>
    </w:pPr>
    <w:rPr>
      <w:rFonts w:eastAsiaTheme="majorEastAsia" w:cstheme="majorBidi"/>
      <w:b/>
      <w:bCs/>
      <w:iCs/>
      <w:color w:val="1168A9"/>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6645"/>
    <w:rPr>
      <w:rFonts w:ascii="Arial" w:eastAsiaTheme="majorEastAsia" w:hAnsi="Arial" w:cstheme="majorBidi"/>
      <w:b/>
      <w:bCs/>
      <w:color w:val="1168A9"/>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30420F"/>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B0196E"/>
    <w:rPr>
      <w:rFonts w:ascii="Arial" w:eastAsiaTheme="majorEastAsia" w:hAnsi="Arial" w:cstheme="majorBidi"/>
      <w:b/>
      <w:bCs/>
      <w:color w:val="1168A9"/>
      <w:sz w:val="28"/>
      <w:szCs w:val="28"/>
    </w:rPr>
  </w:style>
  <w:style w:type="character" w:customStyle="1" w:styleId="Heading3Char">
    <w:name w:val="Heading 3 Char"/>
    <w:basedOn w:val="DefaultParagraphFont"/>
    <w:link w:val="Heading3"/>
    <w:uiPriority w:val="9"/>
    <w:rsid w:val="00DF4961"/>
    <w:rPr>
      <w:rFonts w:ascii="Arial" w:eastAsiaTheme="majorEastAsia" w:hAnsi="Arial" w:cstheme="majorBidi"/>
      <w:b/>
      <w:bCs/>
      <w:iCs/>
      <w:color w:val="1168A9"/>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2"/>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3"/>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 w:type="character" w:customStyle="1" w:styleId="boldit">
    <w:name w:val="boldit"/>
    <w:basedOn w:val="DefaultParagraphFont"/>
    <w:rsid w:val="00086CD2"/>
  </w:style>
  <w:style w:type="character" w:styleId="HTMLAcronym">
    <w:name w:val="HTML Acronym"/>
    <w:basedOn w:val="DefaultParagraphFont"/>
    <w:uiPriority w:val="99"/>
    <w:semiHidden/>
    <w:unhideWhenUsed/>
    <w:rsid w:val="0046203D"/>
  </w:style>
  <w:style w:type="character" w:customStyle="1" w:styleId="A6">
    <w:name w:val="A6"/>
    <w:uiPriority w:val="99"/>
    <w:rsid w:val="0046203D"/>
    <w:rPr>
      <w:color w:val="000000"/>
      <w:sz w:val="36"/>
      <w:szCs w:val="36"/>
    </w:rPr>
  </w:style>
  <w:style w:type="character" w:customStyle="1" w:styleId="A3">
    <w:name w:val="A3"/>
    <w:uiPriority w:val="99"/>
    <w:rsid w:val="0046203D"/>
    <w:rPr>
      <w:b/>
      <w:bCs/>
      <w:color w:val="000000"/>
      <w:sz w:val="28"/>
      <w:szCs w:val="28"/>
    </w:rPr>
  </w:style>
  <w:style w:type="paragraph" w:customStyle="1" w:styleId="BodyText-nospacebelow">
    <w:name w:val="Body Text - no space below"/>
    <w:basedOn w:val="BodyText"/>
    <w:qFormat/>
    <w:locked/>
    <w:rsid w:val="00971663"/>
    <w:pPr>
      <w:spacing w:line="276" w:lineRule="auto"/>
      <w:jc w:val="left"/>
    </w:pPr>
    <w:rPr>
      <w:rFonts w:eastAsiaTheme="minorHAnsi" w:cstheme="minorBidi"/>
      <w:color w:val="3C3C3C"/>
      <w:sz w:val="24"/>
      <w:szCs w:val="22"/>
    </w:rPr>
  </w:style>
  <w:style w:type="character" w:styleId="SubtleReference">
    <w:name w:val="Subtle Reference"/>
    <w:basedOn w:val="DefaultParagraphFont"/>
    <w:uiPriority w:val="31"/>
    <w:qFormat/>
    <w:rsid w:val="00243938"/>
    <w:rPr>
      <w:smallCaps/>
      <w:color w:val="C0504D" w:themeColor="accent2"/>
      <w:u w:val="single"/>
    </w:rPr>
  </w:style>
  <w:style w:type="character" w:customStyle="1" w:styleId="UnresolvedMention">
    <w:name w:val="Unresolved Mention"/>
    <w:basedOn w:val="DefaultParagraphFont"/>
    <w:uiPriority w:val="99"/>
    <w:semiHidden/>
    <w:unhideWhenUsed/>
    <w:rsid w:val="009B32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11640">
      <w:bodyDiv w:val="1"/>
      <w:marLeft w:val="0"/>
      <w:marRight w:val="0"/>
      <w:marTop w:val="0"/>
      <w:marBottom w:val="0"/>
      <w:divBdr>
        <w:top w:val="none" w:sz="0" w:space="0" w:color="auto"/>
        <w:left w:val="none" w:sz="0" w:space="0" w:color="auto"/>
        <w:bottom w:val="none" w:sz="0" w:space="0" w:color="auto"/>
        <w:right w:val="none" w:sz="0" w:space="0" w:color="auto"/>
      </w:divBdr>
    </w:div>
    <w:div w:id="62144733">
      <w:bodyDiv w:val="1"/>
      <w:marLeft w:val="0"/>
      <w:marRight w:val="0"/>
      <w:marTop w:val="0"/>
      <w:marBottom w:val="0"/>
      <w:divBdr>
        <w:top w:val="none" w:sz="0" w:space="0" w:color="auto"/>
        <w:left w:val="none" w:sz="0" w:space="0" w:color="auto"/>
        <w:bottom w:val="none" w:sz="0" w:space="0" w:color="auto"/>
        <w:right w:val="none" w:sz="0" w:space="0" w:color="auto"/>
      </w:divBdr>
    </w:div>
    <w:div w:id="70585846">
      <w:bodyDiv w:val="1"/>
      <w:marLeft w:val="0"/>
      <w:marRight w:val="0"/>
      <w:marTop w:val="0"/>
      <w:marBottom w:val="0"/>
      <w:divBdr>
        <w:top w:val="none" w:sz="0" w:space="0" w:color="auto"/>
        <w:left w:val="none" w:sz="0" w:space="0" w:color="auto"/>
        <w:bottom w:val="none" w:sz="0" w:space="0" w:color="auto"/>
        <w:right w:val="none" w:sz="0" w:space="0" w:color="auto"/>
      </w:divBdr>
    </w:div>
    <w:div w:id="123697846">
      <w:bodyDiv w:val="1"/>
      <w:marLeft w:val="0"/>
      <w:marRight w:val="0"/>
      <w:marTop w:val="0"/>
      <w:marBottom w:val="0"/>
      <w:divBdr>
        <w:top w:val="none" w:sz="0" w:space="0" w:color="auto"/>
        <w:left w:val="none" w:sz="0" w:space="0" w:color="auto"/>
        <w:bottom w:val="none" w:sz="0" w:space="0" w:color="auto"/>
        <w:right w:val="none" w:sz="0" w:space="0" w:color="auto"/>
      </w:divBdr>
    </w:div>
    <w:div w:id="164394280">
      <w:bodyDiv w:val="1"/>
      <w:marLeft w:val="0"/>
      <w:marRight w:val="0"/>
      <w:marTop w:val="0"/>
      <w:marBottom w:val="0"/>
      <w:divBdr>
        <w:top w:val="none" w:sz="0" w:space="0" w:color="auto"/>
        <w:left w:val="none" w:sz="0" w:space="0" w:color="auto"/>
        <w:bottom w:val="none" w:sz="0" w:space="0" w:color="auto"/>
        <w:right w:val="none" w:sz="0" w:space="0" w:color="auto"/>
      </w:divBdr>
      <w:divsChild>
        <w:div w:id="9571152">
          <w:marLeft w:val="547"/>
          <w:marRight w:val="0"/>
          <w:marTop w:val="48"/>
          <w:marBottom w:val="0"/>
          <w:divBdr>
            <w:top w:val="none" w:sz="0" w:space="0" w:color="auto"/>
            <w:left w:val="none" w:sz="0" w:space="0" w:color="auto"/>
            <w:bottom w:val="none" w:sz="0" w:space="0" w:color="auto"/>
            <w:right w:val="none" w:sz="0" w:space="0" w:color="auto"/>
          </w:divBdr>
        </w:div>
        <w:div w:id="46413987">
          <w:marLeft w:val="547"/>
          <w:marRight w:val="0"/>
          <w:marTop w:val="48"/>
          <w:marBottom w:val="0"/>
          <w:divBdr>
            <w:top w:val="none" w:sz="0" w:space="0" w:color="auto"/>
            <w:left w:val="none" w:sz="0" w:space="0" w:color="auto"/>
            <w:bottom w:val="none" w:sz="0" w:space="0" w:color="auto"/>
            <w:right w:val="none" w:sz="0" w:space="0" w:color="auto"/>
          </w:divBdr>
        </w:div>
        <w:div w:id="264117970">
          <w:marLeft w:val="547"/>
          <w:marRight w:val="0"/>
          <w:marTop w:val="48"/>
          <w:marBottom w:val="0"/>
          <w:divBdr>
            <w:top w:val="none" w:sz="0" w:space="0" w:color="auto"/>
            <w:left w:val="none" w:sz="0" w:space="0" w:color="auto"/>
            <w:bottom w:val="none" w:sz="0" w:space="0" w:color="auto"/>
            <w:right w:val="none" w:sz="0" w:space="0" w:color="auto"/>
          </w:divBdr>
        </w:div>
        <w:div w:id="455872272">
          <w:marLeft w:val="547"/>
          <w:marRight w:val="0"/>
          <w:marTop w:val="48"/>
          <w:marBottom w:val="0"/>
          <w:divBdr>
            <w:top w:val="none" w:sz="0" w:space="0" w:color="auto"/>
            <w:left w:val="none" w:sz="0" w:space="0" w:color="auto"/>
            <w:bottom w:val="none" w:sz="0" w:space="0" w:color="auto"/>
            <w:right w:val="none" w:sz="0" w:space="0" w:color="auto"/>
          </w:divBdr>
        </w:div>
        <w:div w:id="462164749">
          <w:marLeft w:val="547"/>
          <w:marRight w:val="0"/>
          <w:marTop w:val="48"/>
          <w:marBottom w:val="0"/>
          <w:divBdr>
            <w:top w:val="none" w:sz="0" w:space="0" w:color="auto"/>
            <w:left w:val="none" w:sz="0" w:space="0" w:color="auto"/>
            <w:bottom w:val="none" w:sz="0" w:space="0" w:color="auto"/>
            <w:right w:val="none" w:sz="0" w:space="0" w:color="auto"/>
          </w:divBdr>
        </w:div>
        <w:div w:id="858547726">
          <w:marLeft w:val="547"/>
          <w:marRight w:val="0"/>
          <w:marTop w:val="48"/>
          <w:marBottom w:val="0"/>
          <w:divBdr>
            <w:top w:val="none" w:sz="0" w:space="0" w:color="auto"/>
            <w:left w:val="none" w:sz="0" w:space="0" w:color="auto"/>
            <w:bottom w:val="none" w:sz="0" w:space="0" w:color="auto"/>
            <w:right w:val="none" w:sz="0" w:space="0" w:color="auto"/>
          </w:divBdr>
        </w:div>
        <w:div w:id="1326517933">
          <w:marLeft w:val="547"/>
          <w:marRight w:val="0"/>
          <w:marTop w:val="48"/>
          <w:marBottom w:val="0"/>
          <w:divBdr>
            <w:top w:val="none" w:sz="0" w:space="0" w:color="auto"/>
            <w:left w:val="none" w:sz="0" w:space="0" w:color="auto"/>
            <w:bottom w:val="none" w:sz="0" w:space="0" w:color="auto"/>
            <w:right w:val="none" w:sz="0" w:space="0" w:color="auto"/>
          </w:divBdr>
        </w:div>
        <w:div w:id="1732266060">
          <w:marLeft w:val="547"/>
          <w:marRight w:val="0"/>
          <w:marTop w:val="48"/>
          <w:marBottom w:val="0"/>
          <w:divBdr>
            <w:top w:val="none" w:sz="0" w:space="0" w:color="auto"/>
            <w:left w:val="none" w:sz="0" w:space="0" w:color="auto"/>
            <w:bottom w:val="none" w:sz="0" w:space="0" w:color="auto"/>
            <w:right w:val="none" w:sz="0" w:space="0" w:color="auto"/>
          </w:divBdr>
        </w:div>
      </w:divsChild>
    </w:div>
    <w:div w:id="179317725">
      <w:bodyDiv w:val="1"/>
      <w:marLeft w:val="0"/>
      <w:marRight w:val="0"/>
      <w:marTop w:val="0"/>
      <w:marBottom w:val="0"/>
      <w:divBdr>
        <w:top w:val="none" w:sz="0" w:space="0" w:color="auto"/>
        <w:left w:val="none" w:sz="0" w:space="0" w:color="auto"/>
        <w:bottom w:val="none" w:sz="0" w:space="0" w:color="auto"/>
        <w:right w:val="none" w:sz="0" w:space="0" w:color="auto"/>
      </w:divBdr>
    </w:div>
    <w:div w:id="224606864">
      <w:bodyDiv w:val="1"/>
      <w:marLeft w:val="0"/>
      <w:marRight w:val="0"/>
      <w:marTop w:val="0"/>
      <w:marBottom w:val="0"/>
      <w:divBdr>
        <w:top w:val="none" w:sz="0" w:space="0" w:color="auto"/>
        <w:left w:val="none" w:sz="0" w:space="0" w:color="auto"/>
        <w:bottom w:val="none" w:sz="0" w:space="0" w:color="auto"/>
        <w:right w:val="none" w:sz="0" w:space="0" w:color="auto"/>
      </w:divBdr>
    </w:div>
    <w:div w:id="235557406">
      <w:bodyDiv w:val="1"/>
      <w:marLeft w:val="0"/>
      <w:marRight w:val="0"/>
      <w:marTop w:val="0"/>
      <w:marBottom w:val="0"/>
      <w:divBdr>
        <w:top w:val="none" w:sz="0" w:space="0" w:color="auto"/>
        <w:left w:val="none" w:sz="0" w:space="0" w:color="auto"/>
        <w:bottom w:val="none" w:sz="0" w:space="0" w:color="auto"/>
        <w:right w:val="none" w:sz="0" w:space="0" w:color="auto"/>
      </w:divBdr>
    </w:div>
    <w:div w:id="252974122">
      <w:bodyDiv w:val="1"/>
      <w:marLeft w:val="0"/>
      <w:marRight w:val="0"/>
      <w:marTop w:val="0"/>
      <w:marBottom w:val="0"/>
      <w:divBdr>
        <w:top w:val="none" w:sz="0" w:space="0" w:color="auto"/>
        <w:left w:val="none" w:sz="0" w:space="0" w:color="auto"/>
        <w:bottom w:val="none" w:sz="0" w:space="0" w:color="auto"/>
        <w:right w:val="none" w:sz="0" w:space="0" w:color="auto"/>
      </w:divBdr>
      <w:divsChild>
        <w:div w:id="104273028">
          <w:marLeft w:val="547"/>
          <w:marRight w:val="0"/>
          <w:marTop w:val="0"/>
          <w:marBottom w:val="0"/>
          <w:divBdr>
            <w:top w:val="none" w:sz="0" w:space="0" w:color="auto"/>
            <w:left w:val="none" w:sz="0" w:space="0" w:color="auto"/>
            <w:bottom w:val="none" w:sz="0" w:space="0" w:color="auto"/>
            <w:right w:val="none" w:sz="0" w:space="0" w:color="auto"/>
          </w:divBdr>
        </w:div>
      </w:divsChild>
    </w:div>
    <w:div w:id="275603995">
      <w:bodyDiv w:val="1"/>
      <w:marLeft w:val="0"/>
      <w:marRight w:val="0"/>
      <w:marTop w:val="0"/>
      <w:marBottom w:val="0"/>
      <w:divBdr>
        <w:top w:val="none" w:sz="0" w:space="0" w:color="auto"/>
        <w:left w:val="none" w:sz="0" w:space="0" w:color="auto"/>
        <w:bottom w:val="none" w:sz="0" w:space="0" w:color="auto"/>
        <w:right w:val="none" w:sz="0" w:space="0" w:color="auto"/>
      </w:divBdr>
    </w:div>
    <w:div w:id="301425947">
      <w:bodyDiv w:val="1"/>
      <w:marLeft w:val="0"/>
      <w:marRight w:val="0"/>
      <w:marTop w:val="0"/>
      <w:marBottom w:val="0"/>
      <w:divBdr>
        <w:top w:val="none" w:sz="0" w:space="0" w:color="auto"/>
        <w:left w:val="none" w:sz="0" w:space="0" w:color="auto"/>
        <w:bottom w:val="none" w:sz="0" w:space="0" w:color="auto"/>
        <w:right w:val="none" w:sz="0" w:space="0" w:color="auto"/>
      </w:divBdr>
    </w:div>
    <w:div w:id="310985135">
      <w:bodyDiv w:val="1"/>
      <w:marLeft w:val="0"/>
      <w:marRight w:val="0"/>
      <w:marTop w:val="0"/>
      <w:marBottom w:val="0"/>
      <w:divBdr>
        <w:top w:val="none" w:sz="0" w:space="0" w:color="auto"/>
        <w:left w:val="none" w:sz="0" w:space="0" w:color="auto"/>
        <w:bottom w:val="none" w:sz="0" w:space="0" w:color="auto"/>
        <w:right w:val="none" w:sz="0" w:space="0" w:color="auto"/>
      </w:divBdr>
    </w:div>
    <w:div w:id="341594155">
      <w:bodyDiv w:val="1"/>
      <w:marLeft w:val="0"/>
      <w:marRight w:val="0"/>
      <w:marTop w:val="0"/>
      <w:marBottom w:val="0"/>
      <w:divBdr>
        <w:top w:val="none" w:sz="0" w:space="0" w:color="auto"/>
        <w:left w:val="none" w:sz="0" w:space="0" w:color="auto"/>
        <w:bottom w:val="none" w:sz="0" w:space="0" w:color="auto"/>
        <w:right w:val="none" w:sz="0" w:space="0" w:color="auto"/>
      </w:divBdr>
    </w:div>
    <w:div w:id="362245473">
      <w:bodyDiv w:val="1"/>
      <w:marLeft w:val="0"/>
      <w:marRight w:val="0"/>
      <w:marTop w:val="0"/>
      <w:marBottom w:val="0"/>
      <w:divBdr>
        <w:top w:val="none" w:sz="0" w:space="0" w:color="auto"/>
        <w:left w:val="none" w:sz="0" w:space="0" w:color="auto"/>
        <w:bottom w:val="none" w:sz="0" w:space="0" w:color="auto"/>
        <w:right w:val="none" w:sz="0" w:space="0" w:color="auto"/>
      </w:divBdr>
    </w:div>
    <w:div w:id="366831218">
      <w:bodyDiv w:val="1"/>
      <w:marLeft w:val="0"/>
      <w:marRight w:val="0"/>
      <w:marTop w:val="0"/>
      <w:marBottom w:val="0"/>
      <w:divBdr>
        <w:top w:val="none" w:sz="0" w:space="0" w:color="auto"/>
        <w:left w:val="none" w:sz="0" w:space="0" w:color="auto"/>
        <w:bottom w:val="none" w:sz="0" w:space="0" w:color="auto"/>
        <w:right w:val="none" w:sz="0" w:space="0" w:color="auto"/>
      </w:divBdr>
    </w:div>
    <w:div w:id="441844286">
      <w:bodyDiv w:val="1"/>
      <w:marLeft w:val="0"/>
      <w:marRight w:val="0"/>
      <w:marTop w:val="0"/>
      <w:marBottom w:val="0"/>
      <w:divBdr>
        <w:top w:val="none" w:sz="0" w:space="0" w:color="auto"/>
        <w:left w:val="none" w:sz="0" w:space="0" w:color="auto"/>
        <w:bottom w:val="none" w:sz="0" w:space="0" w:color="auto"/>
        <w:right w:val="none" w:sz="0" w:space="0" w:color="auto"/>
      </w:divBdr>
    </w:div>
    <w:div w:id="531575667">
      <w:bodyDiv w:val="1"/>
      <w:marLeft w:val="0"/>
      <w:marRight w:val="0"/>
      <w:marTop w:val="0"/>
      <w:marBottom w:val="0"/>
      <w:divBdr>
        <w:top w:val="none" w:sz="0" w:space="0" w:color="auto"/>
        <w:left w:val="none" w:sz="0" w:space="0" w:color="auto"/>
        <w:bottom w:val="none" w:sz="0" w:space="0" w:color="auto"/>
        <w:right w:val="none" w:sz="0" w:space="0" w:color="auto"/>
      </w:divBdr>
    </w:div>
    <w:div w:id="568148705">
      <w:bodyDiv w:val="1"/>
      <w:marLeft w:val="0"/>
      <w:marRight w:val="0"/>
      <w:marTop w:val="0"/>
      <w:marBottom w:val="0"/>
      <w:divBdr>
        <w:top w:val="none" w:sz="0" w:space="0" w:color="auto"/>
        <w:left w:val="none" w:sz="0" w:space="0" w:color="auto"/>
        <w:bottom w:val="none" w:sz="0" w:space="0" w:color="auto"/>
        <w:right w:val="none" w:sz="0" w:space="0" w:color="auto"/>
      </w:divBdr>
    </w:div>
    <w:div w:id="576014021">
      <w:bodyDiv w:val="1"/>
      <w:marLeft w:val="0"/>
      <w:marRight w:val="0"/>
      <w:marTop w:val="0"/>
      <w:marBottom w:val="0"/>
      <w:divBdr>
        <w:top w:val="none" w:sz="0" w:space="0" w:color="auto"/>
        <w:left w:val="none" w:sz="0" w:space="0" w:color="auto"/>
        <w:bottom w:val="none" w:sz="0" w:space="0" w:color="auto"/>
        <w:right w:val="none" w:sz="0" w:space="0" w:color="auto"/>
      </w:divBdr>
    </w:div>
    <w:div w:id="589043096">
      <w:bodyDiv w:val="1"/>
      <w:marLeft w:val="0"/>
      <w:marRight w:val="0"/>
      <w:marTop w:val="0"/>
      <w:marBottom w:val="0"/>
      <w:divBdr>
        <w:top w:val="none" w:sz="0" w:space="0" w:color="auto"/>
        <w:left w:val="none" w:sz="0" w:space="0" w:color="auto"/>
        <w:bottom w:val="none" w:sz="0" w:space="0" w:color="auto"/>
        <w:right w:val="none" w:sz="0" w:space="0" w:color="auto"/>
      </w:divBdr>
    </w:div>
    <w:div w:id="682509819">
      <w:bodyDiv w:val="1"/>
      <w:marLeft w:val="0"/>
      <w:marRight w:val="0"/>
      <w:marTop w:val="0"/>
      <w:marBottom w:val="0"/>
      <w:divBdr>
        <w:top w:val="none" w:sz="0" w:space="0" w:color="auto"/>
        <w:left w:val="none" w:sz="0" w:space="0" w:color="auto"/>
        <w:bottom w:val="none" w:sz="0" w:space="0" w:color="auto"/>
        <w:right w:val="none" w:sz="0" w:space="0" w:color="auto"/>
      </w:divBdr>
    </w:div>
    <w:div w:id="699668079">
      <w:bodyDiv w:val="1"/>
      <w:marLeft w:val="0"/>
      <w:marRight w:val="0"/>
      <w:marTop w:val="0"/>
      <w:marBottom w:val="0"/>
      <w:divBdr>
        <w:top w:val="none" w:sz="0" w:space="0" w:color="auto"/>
        <w:left w:val="none" w:sz="0" w:space="0" w:color="auto"/>
        <w:bottom w:val="none" w:sz="0" w:space="0" w:color="auto"/>
        <w:right w:val="none" w:sz="0" w:space="0" w:color="auto"/>
      </w:divBdr>
    </w:div>
    <w:div w:id="729186037">
      <w:bodyDiv w:val="1"/>
      <w:marLeft w:val="0"/>
      <w:marRight w:val="0"/>
      <w:marTop w:val="0"/>
      <w:marBottom w:val="0"/>
      <w:divBdr>
        <w:top w:val="none" w:sz="0" w:space="0" w:color="auto"/>
        <w:left w:val="none" w:sz="0" w:space="0" w:color="auto"/>
        <w:bottom w:val="none" w:sz="0" w:space="0" w:color="auto"/>
        <w:right w:val="none" w:sz="0" w:space="0" w:color="auto"/>
      </w:divBdr>
    </w:div>
    <w:div w:id="771248004">
      <w:bodyDiv w:val="1"/>
      <w:marLeft w:val="0"/>
      <w:marRight w:val="0"/>
      <w:marTop w:val="0"/>
      <w:marBottom w:val="0"/>
      <w:divBdr>
        <w:top w:val="none" w:sz="0" w:space="0" w:color="auto"/>
        <w:left w:val="none" w:sz="0" w:space="0" w:color="auto"/>
        <w:bottom w:val="none" w:sz="0" w:space="0" w:color="auto"/>
        <w:right w:val="none" w:sz="0" w:space="0" w:color="auto"/>
      </w:divBdr>
    </w:div>
    <w:div w:id="771975739">
      <w:bodyDiv w:val="1"/>
      <w:marLeft w:val="0"/>
      <w:marRight w:val="0"/>
      <w:marTop w:val="0"/>
      <w:marBottom w:val="0"/>
      <w:divBdr>
        <w:top w:val="none" w:sz="0" w:space="0" w:color="auto"/>
        <w:left w:val="none" w:sz="0" w:space="0" w:color="auto"/>
        <w:bottom w:val="none" w:sz="0" w:space="0" w:color="auto"/>
        <w:right w:val="none" w:sz="0" w:space="0" w:color="auto"/>
      </w:divBdr>
    </w:div>
    <w:div w:id="861743588">
      <w:bodyDiv w:val="1"/>
      <w:marLeft w:val="0"/>
      <w:marRight w:val="0"/>
      <w:marTop w:val="0"/>
      <w:marBottom w:val="0"/>
      <w:divBdr>
        <w:top w:val="none" w:sz="0" w:space="0" w:color="auto"/>
        <w:left w:val="none" w:sz="0" w:space="0" w:color="auto"/>
        <w:bottom w:val="none" w:sz="0" w:space="0" w:color="auto"/>
        <w:right w:val="none" w:sz="0" w:space="0" w:color="auto"/>
      </w:divBdr>
    </w:div>
    <w:div w:id="1061827145">
      <w:bodyDiv w:val="1"/>
      <w:marLeft w:val="0"/>
      <w:marRight w:val="0"/>
      <w:marTop w:val="0"/>
      <w:marBottom w:val="0"/>
      <w:divBdr>
        <w:top w:val="none" w:sz="0" w:space="0" w:color="auto"/>
        <w:left w:val="none" w:sz="0" w:space="0" w:color="auto"/>
        <w:bottom w:val="none" w:sz="0" w:space="0" w:color="auto"/>
        <w:right w:val="none" w:sz="0" w:space="0" w:color="auto"/>
      </w:divBdr>
    </w:div>
    <w:div w:id="1098332361">
      <w:bodyDiv w:val="1"/>
      <w:marLeft w:val="0"/>
      <w:marRight w:val="0"/>
      <w:marTop w:val="0"/>
      <w:marBottom w:val="0"/>
      <w:divBdr>
        <w:top w:val="none" w:sz="0" w:space="0" w:color="auto"/>
        <w:left w:val="none" w:sz="0" w:space="0" w:color="auto"/>
        <w:bottom w:val="none" w:sz="0" w:space="0" w:color="auto"/>
        <w:right w:val="none" w:sz="0" w:space="0" w:color="auto"/>
      </w:divBdr>
    </w:div>
    <w:div w:id="1157528522">
      <w:bodyDiv w:val="1"/>
      <w:marLeft w:val="0"/>
      <w:marRight w:val="0"/>
      <w:marTop w:val="0"/>
      <w:marBottom w:val="0"/>
      <w:divBdr>
        <w:top w:val="none" w:sz="0" w:space="0" w:color="auto"/>
        <w:left w:val="none" w:sz="0" w:space="0" w:color="auto"/>
        <w:bottom w:val="none" w:sz="0" w:space="0" w:color="auto"/>
        <w:right w:val="none" w:sz="0" w:space="0" w:color="auto"/>
      </w:divBdr>
    </w:div>
    <w:div w:id="1159805396">
      <w:bodyDiv w:val="1"/>
      <w:marLeft w:val="0"/>
      <w:marRight w:val="0"/>
      <w:marTop w:val="0"/>
      <w:marBottom w:val="0"/>
      <w:divBdr>
        <w:top w:val="none" w:sz="0" w:space="0" w:color="auto"/>
        <w:left w:val="none" w:sz="0" w:space="0" w:color="auto"/>
        <w:bottom w:val="none" w:sz="0" w:space="0" w:color="auto"/>
        <w:right w:val="none" w:sz="0" w:space="0" w:color="auto"/>
      </w:divBdr>
    </w:div>
    <w:div w:id="1209686862">
      <w:bodyDiv w:val="1"/>
      <w:marLeft w:val="0"/>
      <w:marRight w:val="0"/>
      <w:marTop w:val="0"/>
      <w:marBottom w:val="0"/>
      <w:divBdr>
        <w:top w:val="none" w:sz="0" w:space="0" w:color="auto"/>
        <w:left w:val="none" w:sz="0" w:space="0" w:color="auto"/>
        <w:bottom w:val="none" w:sz="0" w:space="0" w:color="auto"/>
        <w:right w:val="none" w:sz="0" w:space="0" w:color="auto"/>
      </w:divBdr>
    </w:div>
    <w:div w:id="1283224543">
      <w:bodyDiv w:val="1"/>
      <w:marLeft w:val="0"/>
      <w:marRight w:val="0"/>
      <w:marTop w:val="0"/>
      <w:marBottom w:val="0"/>
      <w:divBdr>
        <w:top w:val="none" w:sz="0" w:space="0" w:color="auto"/>
        <w:left w:val="none" w:sz="0" w:space="0" w:color="auto"/>
        <w:bottom w:val="none" w:sz="0" w:space="0" w:color="auto"/>
        <w:right w:val="none" w:sz="0" w:space="0" w:color="auto"/>
      </w:divBdr>
    </w:div>
    <w:div w:id="1305233287">
      <w:bodyDiv w:val="1"/>
      <w:marLeft w:val="0"/>
      <w:marRight w:val="0"/>
      <w:marTop w:val="0"/>
      <w:marBottom w:val="0"/>
      <w:divBdr>
        <w:top w:val="none" w:sz="0" w:space="0" w:color="auto"/>
        <w:left w:val="none" w:sz="0" w:space="0" w:color="auto"/>
        <w:bottom w:val="none" w:sz="0" w:space="0" w:color="auto"/>
        <w:right w:val="none" w:sz="0" w:space="0" w:color="auto"/>
      </w:divBdr>
      <w:divsChild>
        <w:div w:id="1197815033">
          <w:marLeft w:val="547"/>
          <w:marRight w:val="0"/>
          <w:marTop w:val="0"/>
          <w:marBottom w:val="0"/>
          <w:divBdr>
            <w:top w:val="none" w:sz="0" w:space="0" w:color="auto"/>
            <w:left w:val="none" w:sz="0" w:space="0" w:color="auto"/>
            <w:bottom w:val="none" w:sz="0" w:space="0" w:color="auto"/>
            <w:right w:val="none" w:sz="0" w:space="0" w:color="auto"/>
          </w:divBdr>
        </w:div>
      </w:divsChild>
    </w:div>
    <w:div w:id="1328509500">
      <w:bodyDiv w:val="1"/>
      <w:marLeft w:val="0"/>
      <w:marRight w:val="0"/>
      <w:marTop w:val="0"/>
      <w:marBottom w:val="0"/>
      <w:divBdr>
        <w:top w:val="none" w:sz="0" w:space="0" w:color="auto"/>
        <w:left w:val="none" w:sz="0" w:space="0" w:color="auto"/>
        <w:bottom w:val="none" w:sz="0" w:space="0" w:color="auto"/>
        <w:right w:val="none" w:sz="0" w:space="0" w:color="auto"/>
      </w:divBdr>
      <w:divsChild>
        <w:div w:id="33891963">
          <w:marLeft w:val="547"/>
          <w:marRight w:val="0"/>
          <w:marTop w:val="0"/>
          <w:marBottom w:val="0"/>
          <w:divBdr>
            <w:top w:val="none" w:sz="0" w:space="0" w:color="auto"/>
            <w:left w:val="none" w:sz="0" w:space="0" w:color="auto"/>
            <w:bottom w:val="none" w:sz="0" w:space="0" w:color="auto"/>
            <w:right w:val="none" w:sz="0" w:space="0" w:color="auto"/>
          </w:divBdr>
        </w:div>
      </w:divsChild>
    </w:div>
    <w:div w:id="1349916494">
      <w:bodyDiv w:val="1"/>
      <w:marLeft w:val="0"/>
      <w:marRight w:val="0"/>
      <w:marTop w:val="0"/>
      <w:marBottom w:val="0"/>
      <w:divBdr>
        <w:top w:val="none" w:sz="0" w:space="0" w:color="auto"/>
        <w:left w:val="none" w:sz="0" w:space="0" w:color="auto"/>
        <w:bottom w:val="none" w:sz="0" w:space="0" w:color="auto"/>
        <w:right w:val="none" w:sz="0" w:space="0" w:color="auto"/>
      </w:divBdr>
    </w:div>
    <w:div w:id="1354189123">
      <w:bodyDiv w:val="1"/>
      <w:marLeft w:val="0"/>
      <w:marRight w:val="0"/>
      <w:marTop w:val="0"/>
      <w:marBottom w:val="0"/>
      <w:divBdr>
        <w:top w:val="none" w:sz="0" w:space="0" w:color="auto"/>
        <w:left w:val="none" w:sz="0" w:space="0" w:color="auto"/>
        <w:bottom w:val="none" w:sz="0" w:space="0" w:color="auto"/>
        <w:right w:val="none" w:sz="0" w:space="0" w:color="auto"/>
      </w:divBdr>
    </w:div>
    <w:div w:id="1451390016">
      <w:bodyDiv w:val="1"/>
      <w:marLeft w:val="0"/>
      <w:marRight w:val="0"/>
      <w:marTop w:val="0"/>
      <w:marBottom w:val="0"/>
      <w:divBdr>
        <w:top w:val="none" w:sz="0" w:space="0" w:color="auto"/>
        <w:left w:val="none" w:sz="0" w:space="0" w:color="auto"/>
        <w:bottom w:val="none" w:sz="0" w:space="0" w:color="auto"/>
        <w:right w:val="none" w:sz="0" w:space="0" w:color="auto"/>
      </w:divBdr>
    </w:div>
    <w:div w:id="1472551144">
      <w:bodyDiv w:val="1"/>
      <w:marLeft w:val="0"/>
      <w:marRight w:val="0"/>
      <w:marTop w:val="0"/>
      <w:marBottom w:val="0"/>
      <w:divBdr>
        <w:top w:val="none" w:sz="0" w:space="0" w:color="auto"/>
        <w:left w:val="none" w:sz="0" w:space="0" w:color="auto"/>
        <w:bottom w:val="none" w:sz="0" w:space="0" w:color="auto"/>
        <w:right w:val="none" w:sz="0" w:space="0" w:color="auto"/>
      </w:divBdr>
    </w:div>
    <w:div w:id="1614046593">
      <w:bodyDiv w:val="1"/>
      <w:marLeft w:val="0"/>
      <w:marRight w:val="0"/>
      <w:marTop w:val="0"/>
      <w:marBottom w:val="0"/>
      <w:divBdr>
        <w:top w:val="none" w:sz="0" w:space="0" w:color="auto"/>
        <w:left w:val="none" w:sz="0" w:space="0" w:color="auto"/>
        <w:bottom w:val="none" w:sz="0" w:space="0" w:color="auto"/>
        <w:right w:val="none" w:sz="0" w:space="0" w:color="auto"/>
      </w:divBdr>
    </w:div>
    <w:div w:id="1644694500">
      <w:bodyDiv w:val="1"/>
      <w:marLeft w:val="0"/>
      <w:marRight w:val="0"/>
      <w:marTop w:val="0"/>
      <w:marBottom w:val="0"/>
      <w:divBdr>
        <w:top w:val="none" w:sz="0" w:space="0" w:color="auto"/>
        <w:left w:val="none" w:sz="0" w:space="0" w:color="auto"/>
        <w:bottom w:val="none" w:sz="0" w:space="0" w:color="auto"/>
        <w:right w:val="none" w:sz="0" w:space="0" w:color="auto"/>
      </w:divBdr>
    </w:div>
    <w:div w:id="1649673795">
      <w:bodyDiv w:val="1"/>
      <w:marLeft w:val="0"/>
      <w:marRight w:val="0"/>
      <w:marTop w:val="0"/>
      <w:marBottom w:val="0"/>
      <w:divBdr>
        <w:top w:val="none" w:sz="0" w:space="0" w:color="auto"/>
        <w:left w:val="none" w:sz="0" w:space="0" w:color="auto"/>
        <w:bottom w:val="none" w:sz="0" w:space="0" w:color="auto"/>
        <w:right w:val="none" w:sz="0" w:space="0" w:color="auto"/>
      </w:divBdr>
    </w:div>
    <w:div w:id="1719739059">
      <w:bodyDiv w:val="1"/>
      <w:marLeft w:val="0"/>
      <w:marRight w:val="0"/>
      <w:marTop w:val="0"/>
      <w:marBottom w:val="0"/>
      <w:divBdr>
        <w:top w:val="none" w:sz="0" w:space="0" w:color="auto"/>
        <w:left w:val="none" w:sz="0" w:space="0" w:color="auto"/>
        <w:bottom w:val="none" w:sz="0" w:space="0" w:color="auto"/>
        <w:right w:val="none" w:sz="0" w:space="0" w:color="auto"/>
      </w:divBdr>
      <w:divsChild>
        <w:div w:id="1296570672">
          <w:marLeft w:val="547"/>
          <w:marRight w:val="0"/>
          <w:marTop w:val="0"/>
          <w:marBottom w:val="0"/>
          <w:divBdr>
            <w:top w:val="none" w:sz="0" w:space="0" w:color="auto"/>
            <w:left w:val="none" w:sz="0" w:space="0" w:color="auto"/>
            <w:bottom w:val="none" w:sz="0" w:space="0" w:color="auto"/>
            <w:right w:val="none" w:sz="0" w:space="0" w:color="auto"/>
          </w:divBdr>
        </w:div>
      </w:divsChild>
    </w:div>
    <w:div w:id="1837838437">
      <w:bodyDiv w:val="1"/>
      <w:marLeft w:val="0"/>
      <w:marRight w:val="0"/>
      <w:marTop w:val="0"/>
      <w:marBottom w:val="0"/>
      <w:divBdr>
        <w:top w:val="none" w:sz="0" w:space="0" w:color="auto"/>
        <w:left w:val="none" w:sz="0" w:space="0" w:color="auto"/>
        <w:bottom w:val="none" w:sz="0" w:space="0" w:color="auto"/>
        <w:right w:val="none" w:sz="0" w:space="0" w:color="auto"/>
      </w:divBdr>
    </w:div>
    <w:div w:id="1872457100">
      <w:bodyDiv w:val="1"/>
      <w:marLeft w:val="0"/>
      <w:marRight w:val="0"/>
      <w:marTop w:val="0"/>
      <w:marBottom w:val="0"/>
      <w:divBdr>
        <w:top w:val="none" w:sz="0" w:space="0" w:color="auto"/>
        <w:left w:val="none" w:sz="0" w:space="0" w:color="auto"/>
        <w:bottom w:val="none" w:sz="0" w:space="0" w:color="auto"/>
        <w:right w:val="none" w:sz="0" w:space="0" w:color="auto"/>
      </w:divBdr>
    </w:div>
    <w:div w:id="1890996389">
      <w:bodyDiv w:val="1"/>
      <w:marLeft w:val="0"/>
      <w:marRight w:val="0"/>
      <w:marTop w:val="0"/>
      <w:marBottom w:val="0"/>
      <w:divBdr>
        <w:top w:val="none" w:sz="0" w:space="0" w:color="auto"/>
        <w:left w:val="none" w:sz="0" w:space="0" w:color="auto"/>
        <w:bottom w:val="none" w:sz="0" w:space="0" w:color="auto"/>
        <w:right w:val="none" w:sz="0" w:space="0" w:color="auto"/>
      </w:divBdr>
    </w:div>
    <w:div w:id="1898709685">
      <w:bodyDiv w:val="1"/>
      <w:marLeft w:val="0"/>
      <w:marRight w:val="0"/>
      <w:marTop w:val="0"/>
      <w:marBottom w:val="0"/>
      <w:divBdr>
        <w:top w:val="none" w:sz="0" w:space="0" w:color="auto"/>
        <w:left w:val="none" w:sz="0" w:space="0" w:color="auto"/>
        <w:bottom w:val="none" w:sz="0" w:space="0" w:color="auto"/>
        <w:right w:val="none" w:sz="0" w:space="0" w:color="auto"/>
      </w:divBdr>
    </w:div>
    <w:div w:id="1963728806">
      <w:bodyDiv w:val="1"/>
      <w:marLeft w:val="0"/>
      <w:marRight w:val="0"/>
      <w:marTop w:val="0"/>
      <w:marBottom w:val="0"/>
      <w:divBdr>
        <w:top w:val="none" w:sz="0" w:space="0" w:color="auto"/>
        <w:left w:val="none" w:sz="0" w:space="0" w:color="auto"/>
        <w:bottom w:val="none" w:sz="0" w:space="0" w:color="auto"/>
        <w:right w:val="none" w:sz="0" w:space="0" w:color="auto"/>
      </w:divBdr>
      <w:divsChild>
        <w:div w:id="1039863789">
          <w:marLeft w:val="547"/>
          <w:marRight w:val="0"/>
          <w:marTop w:val="0"/>
          <w:marBottom w:val="0"/>
          <w:divBdr>
            <w:top w:val="none" w:sz="0" w:space="0" w:color="auto"/>
            <w:left w:val="none" w:sz="0" w:space="0" w:color="auto"/>
            <w:bottom w:val="none" w:sz="0" w:space="0" w:color="auto"/>
            <w:right w:val="none" w:sz="0" w:space="0" w:color="auto"/>
          </w:divBdr>
        </w:div>
      </w:divsChild>
    </w:div>
    <w:div w:id="1965312643">
      <w:bodyDiv w:val="1"/>
      <w:marLeft w:val="0"/>
      <w:marRight w:val="0"/>
      <w:marTop w:val="0"/>
      <w:marBottom w:val="0"/>
      <w:divBdr>
        <w:top w:val="none" w:sz="0" w:space="0" w:color="auto"/>
        <w:left w:val="none" w:sz="0" w:space="0" w:color="auto"/>
        <w:bottom w:val="none" w:sz="0" w:space="0" w:color="auto"/>
        <w:right w:val="none" w:sz="0" w:space="0" w:color="auto"/>
      </w:divBdr>
    </w:div>
    <w:div w:id="1965580010">
      <w:bodyDiv w:val="1"/>
      <w:marLeft w:val="0"/>
      <w:marRight w:val="0"/>
      <w:marTop w:val="0"/>
      <w:marBottom w:val="0"/>
      <w:divBdr>
        <w:top w:val="none" w:sz="0" w:space="0" w:color="auto"/>
        <w:left w:val="none" w:sz="0" w:space="0" w:color="auto"/>
        <w:bottom w:val="none" w:sz="0" w:space="0" w:color="auto"/>
        <w:right w:val="none" w:sz="0" w:space="0" w:color="auto"/>
      </w:divBdr>
    </w:div>
    <w:div w:id="1996177183">
      <w:bodyDiv w:val="1"/>
      <w:marLeft w:val="0"/>
      <w:marRight w:val="0"/>
      <w:marTop w:val="0"/>
      <w:marBottom w:val="0"/>
      <w:divBdr>
        <w:top w:val="none" w:sz="0" w:space="0" w:color="auto"/>
        <w:left w:val="none" w:sz="0" w:space="0" w:color="auto"/>
        <w:bottom w:val="none" w:sz="0" w:space="0" w:color="auto"/>
        <w:right w:val="none" w:sz="0" w:space="0" w:color="auto"/>
      </w:divBdr>
      <w:divsChild>
        <w:div w:id="13265897">
          <w:marLeft w:val="0"/>
          <w:marRight w:val="0"/>
          <w:marTop w:val="0"/>
          <w:marBottom w:val="0"/>
          <w:divBdr>
            <w:top w:val="none" w:sz="0" w:space="0" w:color="auto"/>
            <w:left w:val="none" w:sz="0" w:space="0" w:color="auto"/>
            <w:bottom w:val="none" w:sz="0" w:space="0" w:color="auto"/>
            <w:right w:val="none" w:sz="0" w:space="0" w:color="auto"/>
          </w:divBdr>
        </w:div>
      </w:divsChild>
    </w:div>
    <w:div w:id="2009359673">
      <w:bodyDiv w:val="1"/>
      <w:marLeft w:val="0"/>
      <w:marRight w:val="0"/>
      <w:marTop w:val="0"/>
      <w:marBottom w:val="0"/>
      <w:divBdr>
        <w:top w:val="none" w:sz="0" w:space="0" w:color="auto"/>
        <w:left w:val="none" w:sz="0" w:space="0" w:color="auto"/>
        <w:bottom w:val="none" w:sz="0" w:space="0" w:color="auto"/>
        <w:right w:val="none" w:sz="0" w:space="0" w:color="auto"/>
      </w:divBdr>
    </w:div>
    <w:div w:id="2026831878">
      <w:bodyDiv w:val="1"/>
      <w:marLeft w:val="0"/>
      <w:marRight w:val="0"/>
      <w:marTop w:val="0"/>
      <w:marBottom w:val="0"/>
      <w:divBdr>
        <w:top w:val="none" w:sz="0" w:space="0" w:color="auto"/>
        <w:left w:val="none" w:sz="0" w:space="0" w:color="auto"/>
        <w:bottom w:val="none" w:sz="0" w:space="0" w:color="auto"/>
        <w:right w:val="none" w:sz="0" w:space="0" w:color="auto"/>
      </w:divBdr>
    </w:div>
    <w:div w:id="2051567826">
      <w:bodyDiv w:val="1"/>
      <w:marLeft w:val="0"/>
      <w:marRight w:val="0"/>
      <w:marTop w:val="0"/>
      <w:marBottom w:val="0"/>
      <w:divBdr>
        <w:top w:val="none" w:sz="0" w:space="0" w:color="auto"/>
        <w:left w:val="none" w:sz="0" w:space="0" w:color="auto"/>
        <w:bottom w:val="none" w:sz="0" w:space="0" w:color="auto"/>
        <w:right w:val="none" w:sz="0" w:space="0" w:color="auto"/>
      </w:divBdr>
    </w:div>
    <w:div w:id="2074043341">
      <w:bodyDiv w:val="1"/>
      <w:marLeft w:val="0"/>
      <w:marRight w:val="0"/>
      <w:marTop w:val="0"/>
      <w:marBottom w:val="0"/>
      <w:divBdr>
        <w:top w:val="none" w:sz="0" w:space="0" w:color="auto"/>
        <w:left w:val="none" w:sz="0" w:space="0" w:color="auto"/>
        <w:bottom w:val="none" w:sz="0" w:space="0" w:color="auto"/>
        <w:right w:val="none" w:sz="0" w:space="0" w:color="auto"/>
      </w:divBdr>
    </w:div>
    <w:div w:id="2115510823">
      <w:bodyDiv w:val="1"/>
      <w:marLeft w:val="0"/>
      <w:marRight w:val="0"/>
      <w:marTop w:val="0"/>
      <w:marBottom w:val="0"/>
      <w:divBdr>
        <w:top w:val="none" w:sz="0" w:space="0" w:color="auto"/>
        <w:left w:val="none" w:sz="0" w:space="0" w:color="auto"/>
        <w:bottom w:val="none" w:sz="0" w:space="0" w:color="auto"/>
        <w:right w:val="none" w:sz="0" w:space="0" w:color="auto"/>
      </w:divBdr>
    </w:div>
    <w:div w:id="21234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chart" Target="charts/chart4.xml"/><Relationship Id="rId26" Type="http://schemas.openxmlformats.org/officeDocument/2006/relationships/footer" Target="footer4.xml"/><Relationship Id="rId39" Type="http://schemas.openxmlformats.org/officeDocument/2006/relationships/chart" Target="charts/chart19.xml"/><Relationship Id="rId21" Type="http://schemas.openxmlformats.org/officeDocument/2006/relationships/chart" Target="charts/chart6.xml"/><Relationship Id="rId34" Type="http://schemas.openxmlformats.org/officeDocument/2006/relationships/chart" Target="charts/chart14.xml"/><Relationship Id="rId42" Type="http://schemas.openxmlformats.org/officeDocument/2006/relationships/footer" Target="footer5.xml"/><Relationship Id="rId47" Type="http://schemas.openxmlformats.org/officeDocument/2006/relationships/chart" Target="charts/chart22.xml"/><Relationship Id="rId50" Type="http://schemas.openxmlformats.org/officeDocument/2006/relationships/header" Target="header9.xml"/><Relationship Id="rId55" Type="http://schemas.openxmlformats.org/officeDocument/2006/relationships/chart" Target="charts/chart25.xml"/><Relationship Id="rId63" Type="http://schemas.openxmlformats.org/officeDocument/2006/relationships/chart" Target="charts/chart33.xml"/><Relationship Id="rId68" Type="http://schemas.openxmlformats.org/officeDocument/2006/relationships/chart" Target="charts/chart38.xml"/><Relationship Id="rId76" Type="http://schemas.openxmlformats.org/officeDocument/2006/relationships/fontTable" Target="fontTable.xml"/><Relationship Id="rId154" Type="http://schemas.microsoft.com/office/2011/relationships/commentsExtended" Target="commentsExtended.xml"/><Relationship Id="rId7" Type="http://schemas.openxmlformats.org/officeDocument/2006/relationships/footnotes" Target="footnotes.xml"/><Relationship Id="rId71" Type="http://schemas.openxmlformats.org/officeDocument/2006/relationships/chart" Target="charts/chart41.xml"/><Relationship Id="rId2" Type="http://schemas.openxmlformats.org/officeDocument/2006/relationships/numbering" Target="numbering.xml"/><Relationship Id="rId16" Type="http://schemas.openxmlformats.org/officeDocument/2006/relationships/chart" Target="charts/chart3.xml"/><Relationship Id="rId29" Type="http://schemas.openxmlformats.org/officeDocument/2006/relationships/chart" Target="charts/chart9.xml"/><Relationship Id="rId11" Type="http://schemas.openxmlformats.org/officeDocument/2006/relationships/footer" Target="footer1.xml"/><Relationship Id="rId24" Type="http://schemas.openxmlformats.org/officeDocument/2006/relationships/footer" Target="footer3.xml"/><Relationship Id="rId32" Type="http://schemas.openxmlformats.org/officeDocument/2006/relationships/chart" Target="charts/chart12.xml"/><Relationship Id="rId37" Type="http://schemas.openxmlformats.org/officeDocument/2006/relationships/chart" Target="charts/chart17.xml"/><Relationship Id="rId40" Type="http://schemas.openxmlformats.org/officeDocument/2006/relationships/header" Target="header5.xml"/><Relationship Id="rId45" Type="http://schemas.openxmlformats.org/officeDocument/2006/relationships/chart" Target="charts/chart20.xml"/><Relationship Id="rId53" Type="http://schemas.openxmlformats.org/officeDocument/2006/relationships/footer" Target="footer8.xml"/><Relationship Id="rId58" Type="http://schemas.openxmlformats.org/officeDocument/2006/relationships/chart" Target="charts/chart28.xml"/><Relationship Id="rId66" Type="http://schemas.openxmlformats.org/officeDocument/2006/relationships/chart" Target="charts/chart36.xml"/><Relationship Id="rId74" Type="http://schemas.openxmlformats.org/officeDocument/2006/relationships/image" Target="media/image5.jpg"/><Relationship Id="rId5" Type="http://schemas.openxmlformats.org/officeDocument/2006/relationships/settings" Target="settings.xml"/><Relationship Id="rId61" Type="http://schemas.openxmlformats.org/officeDocument/2006/relationships/chart" Target="charts/chart31.xml"/><Relationship Id="rId152" Type="http://schemas.microsoft.com/office/2016/09/relationships/commentsIds" Target="commentsIds.xml"/><Relationship Id="rId10" Type="http://schemas.openxmlformats.org/officeDocument/2006/relationships/image" Target="media/image2.png"/><Relationship Id="rId19" Type="http://schemas.openxmlformats.org/officeDocument/2006/relationships/image" Target="media/image4.jpeg"/><Relationship Id="rId31" Type="http://schemas.openxmlformats.org/officeDocument/2006/relationships/chart" Target="charts/chart11.xml"/><Relationship Id="rId44" Type="http://schemas.openxmlformats.org/officeDocument/2006/relationships/footer" Target="footer6.xml"/><Relationship Id="rId52" Type="http://schemas.openxmlformats.org/officeDocument/2006/relationships/header" Target="header10.xml"/><Relationship Id="rId60" Type="http://schemas.openxmlformats.org/officeDocument/2006/relationships/chart" Target="charts/chart30.xml"/><Relationship Id="rId65" Type="http://schemas.openxmlformats.org/officeDocument/2006/relationships/chart" Target="charts/chart35.xml"/><Relationship Id="rId73" Type="http://schemas.openxmlformats.org/officeDocument/2006/relationships/chart" Target="charts/chart4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1.xml"/><Relationship Id="rId22" Type="http://schemas.openxmlformats.org/officeDocument/2006/relationships/header" Target="header2.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header" Target="header7.xml"/><Relationship Id="rId48" Type="http://schemas.openxmlformats.org/officeDocument/2006/relationships/chart" Target="charts/chart23.xml"/><Relationship Id="rId56" Type="http://schemas.openxmlformats.org/officeDocument/2006/relationships/chart" Target="charts/chart26.xml"/><Relationship Id="rId64" Type="http://schemas.openxmlformats.org/officeDocument/2006/relationships/chart" Target="charts/chart34.xml"/><Relationship Id="rId69" Type="http://schemas.openxmlformats.org/officeDocument/2006/relationships/chart" Target="charts/chart39.xm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footer" Target="footer7.xml"/><Relationship Id="rId72" Type="http://schemas.openxmlformats.org/officeDocument/2006/relationships/chart" Target="charts/chart42.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header" Target="header4.xml"/><Relationship Id="rId33" Type="http://schemas.openxmlformats.org/officeDocument/2006/relationships/chart" Target="charts/chart13.xml"/><Relationship Id="rId38" Type="http://schemas.openxmlformats.org/officeDocument/2006/relationships/chart" Target="charts/chart18.xml"/><Relationship Id="rId46" Type="http://schemas.openxmlformats.org/officeDocument/2006/relationships/chart" Target="charts/chart21.xml"/><Relationship Id="rId59" Type="http://schemas.openxmlformats.org/officeDocument/2006/relationships/chart" Target="charts/chart29.xml"/><Relationship Id="rId67" Type="http://schemas.openxmlformats.org/officeDocument/2006/relationships/chart" Target="charts/chart37.xml"/><Relationship Id="rId20" Type="http://schemas.openxmlformats.org/officeDocument/2006/relationships/chart" Target="charts/chart5.xml"/><Relationship Id="rId41" Type="http://schemas.openxmlformats.org/officeDocument/2006/relationships/header" Target="header6.xml"/><Relationship Id="rId54" Type="http://schemas.openxmlformats.org/officeDocument/2006/relationships/chart" Target="charts/chart24.xml"/><Relationship Id="rId62" Type="http://schemas.openxmlformats.org/officeDocument/2006/relationships/chart" Target="charts/chart32.xml"/><Relationship Id="rId70" Type="http://schemas.openxmlformats.org/officeDocument/2006/relationships/chart" Target="charts/chart40.xml"/><Relationship Id="rId75" Type="http://schemas.openxmlformats.org/officeDocument/2006/relationships/footer" Target="footer9.xml"/><Relationship Id="rId153"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header" Target="header3.xml"/><Relationship Id="rId28" Type="http://schemas.openxmlformats.org/officeDocument/2006/relationships/chart" Target="charts/chart8.xml"/><Relationship Id="rId36" Type="http://schemas.openxmlformats.org/officeDocument/2006/relationships/chart" Target="charts/chart16.xml"/><Relationship Id="rId49" Type="http://schemas.openxmlformats.org/officeDocument/2006/relationships/header" Target="header8.xml"/><Relationship Id="rId57" Type="http://schemas.openxmlformats.org/officeDocument/2006/relationships/chart" Target="charts/chart27.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8.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3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Excel_Worksheet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40.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41.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Excel_Worksheet42.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Excel_Worksheet4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Total</c:v>
                </c:pt>
              </c:strCache>
            </c:strRef>
          </c:tx>
          <c:spPr>
            <a:solidFill>
              <a:schemeClr val="bg1">
                <a:lumMod val="75000"/>
              </a:schemeClr>
            </a:solidFill>
            <a:ln w="41275">
              <a:noFill/>
            </a:ln>
          </c:spPr>
          <c:invertIfNegative val="0"/>
          <c:dLbls>
            <c:numFmt formatCode="#,##0" sourceLinked="0"/>
            <c:txPr>
              <a:bodyPr/>
              <a:lstStyle/>
              <a:p>
                <a:pPr>
                  <a:defRPr b="0"/>
                </a:pPr>
                <a:endParaRPr lang="en-US"/>
              </a:p>
            </c:txPr>
            <c:showLegendKey val="0"/>
            <c:showVal val="1"/>
            <c:showCatName val="0"/>
            <c:showSerName val="0"/>
            <c:showPercent val="0"/>
            <c:showBubbleSize val="0"/>
            <c:showLeaderLines val="0"/>
          </c:dLbls>
          <c:cat>
            <c:strRef>
              <c:f>Sheet1!$A$2:$A$6</c:f>
              <c:strCache>
                <c:ptCount val="5"/>
                <c:pt idx="0">
                  <c:v>2013-14</c:v>
                </c:pt>
                <c:pt idx="1">
                  <c:v>2014-15</c:v>
                </c:pt>
                <c:pt idx="2">
                  <c:v>2015-16</c:v>
                </c:pt>
                <c:pt idx="3">
                  <c:v>2016-17</c:v>
                </c:pt>
                <c:pt idx="4">
                  <c:v>2017-18</c:v>
                </c:pt>
              </c:strCache>
            </c:strRef>
          </c:cat>
          <c:val>
            <c:numRef>
              <c:f>Sheet1!$B$2:$B$6</c:f>
              <c:numCache>
                <c:formatCode>General</c:formatCode>
                <c:ptCount val="5"/>
                <c:pt idx="0">
                  <c:v>2421</c:v>
                </c:pt>
                <c:pt idx="1">
                  <c:v>2419</c:v>
                </c:pt>
                <c:pt idx="2">
                  <c:v>2548</c:v>
                </c:pt>
                <c:pt idx="3">
                  <c:v>2697</c:v>
                </c:pt>
                <c:pt idx="4">
                  <c:v>2719</c:v>
                </c:pt>
              </c:numCache>
            </c:numRef>
          </c:val>
        </c:ser>
        <c:ser>
          <c:idx val="1"/>
          <c:order val="1"/>
          <c:tx>
            <c:strRef>
              <c:f>Sheet1!$C$1</c:f>
              <c:strCache>
                <c:ptCount val="1"/>
                <c:pt idx="0">
                  <c:v>In jurisdiction</c:v>
                </c:pt>
              </c:strCache>
            </c:strRef>
          </c:tx>
          <c:spPr>
            <a:solidFill>
              <a:srgbClr val="04425E"/>
            </a:solidFill>
            <a:ln w="41275">
              <a:noFill/>
            </a:ln>
          </c:spPr>
          <c:invertIfNegative val="0"/>
          <c:dLbls>
            <c:numFmt formatCode="#,##0" sourceLinked="0"/>
            <c:txPr>
              <a:bodyPr/>
              <a:lstStyle/>
              <a:p>
                <a:pPr>
                  <a:defRPr b="0"/>
                </a:pPr>
                <a:endParaRPr lang="en-US"/>
              </a:p>
            </c:txPr>
            <c:showLegendKey val="0"/>
            <c:showVal val="1"/>
            <c:showCatName val="0"/>
            <c:showSerName val="0"/>
            <c:showPercent val="0"/>
            <c:showBubbleSize val="0"/>
            <c:showLeaderLines val="0"/>
          </c:dLbls>
          <c:cat>
            <c:strRef>
              <c:f>Sheet1!$A$2:$A$6</c:f>
              <c:strCache>
                <c:ptCount val="5"/>
                <c:pt idx="0">
                  <c:v>2013-14</c:v>
                </c:pt>
                <c:pt idx="1">
                  <c:v>2014-15</c:v>
                </c:pt>
                <c:pt idx="2">
                  <c:v>2015-16</c:v>
                </c:pt>
                <c:pt idx="3">
                  <c:v>2016-17</c:v>
                </c:pt>
                <c:pt idx="4">
                  <c:v>2017-18</c:v>
                </c:pt>
              </c:strCache>
            </c:strRef>
          </c:cat>
          <c:val>
            <c:numRef>
              <c:f>Sheet1!$C$2:$C$6</c:f>
              <c:numCache>
                <c:formatCode>General</c:formatCode>
                <c:ptCount val="5"/>
                <c:pt idx="0">
                  <c:v>2065</c:v>
                </c:pt>
                <c:pt idx="1">
                  <c:v>2081</c:v>
                </c:pt>
                <c:pt idx="2">
                  <c:v>2203</c:v>
                </c:pt>
                <c:pt idx="3">
                  <c:v>2288</c:v>
                </c:pt>
                <c:pt idx="4">
                  <c:v>2272</c:v>
                </c:pt>
              </c:numCache>
            </c:numRef>
          </c:val>
        </c:ser>
        <c:ser>
          <c:idx val="2"/>
          <c:order val="2"/>
          <c:tx>
            <c:strRef>
              <c:f>Sheet1!$D$1</c:f>
              <c:strCache>
                <c:ptCount val="1"/>
                <c:pt idx="0">
                  <c:v>Out of jurisdiction</c:v>
                </c:pt>
              </c:strCache>
            </c:strRef>
          </c:tx>
          <c:spPr>
            <a:solidFill>
              <a:srgbClr val="2487C4"/>
            </a:solidFill>
            <a:ln w="41275">
              <a:noFill/>
            </a:ln>
          </c:spPr>
          <c:invertIfNegative val="0"/>
          <c:dLbls>
            <c:numFmt formatCode="#,##0" sourceLinked="0"/>
            <c:txPr>
              <a:bodyPr/>
              <a:lstStyle/>
              <a:p>
                <a:pPr>
                  <a:defRPr b="0"/>
                </a:pPr>
                <a:endParaRPr lang="en-US"/>
              </a:p>
            </c:txPr>
            <c:showLegendKey val="0"/>
            <c:showVal val="1"/>
            <c:showCatName val="0"/>
            <c:showSerName val="0"/>
            <c:showPercent val="0"/>
            <c:showBubbleSize val="0"/>
            <c:showLeaderLines val="0"/>
          </c:dLbls>
          <c:cat>
            <c:strRef>
              <c:f>Sheet1!$A$2:$A$6</c:f>
              <c:strCache>
                <c:ptCount val="5"/>
                <c:pt idx="0">
                  <c:v>2013-14</c:v>
                </c:pt>
                <c:pt idx="1">
                  <c:v>2014-15</c:v>
                </c:pt>
                <c:pt idx="2">
                  <c:v>2015-16</c:v>
                </c:pt>
                <c:pt idx="3">
                  <c:v>2016-17</c:v>
                </c:pt>
                <c:pt idx="4">
                  <c:v>2017-18</c:v>
                </c:pt>
              </c:strCache>
            </c:strRef>
          </c:cat>
          <c:val>
            <c:numRef>
              <c:f>Sheet1!$D$2:$D$6</c:f>
              <c:numCache>
                <c:formatCode>General</c:formatCode>
                <c:ptCount val="5"/>
                <c:pt idx="0">
                  <c:v>356</c:v>
                </c:pt>
                <c:pt idx="1">
                  <c:v>338</c:v>
                </c:pt>
                <c:pt idx="2">
                  <c:v>345</c:v>
                </c:pt>
                <c:pt idx="3">
                  <c:v>409</c:v>
                </c:pt>
                <c:pt idx="4">
                  <c:v>447</c:v>
                </c:pt>
              </c:numCache>
            </c:numRef>
          </c:val>
        </c:ser>
        <c:dLbls>
          <c:showLegendKey val="0"/>
          <c:showVal val="1"/>
          <c:showCatName val="0"/>
          <c:showSerName val="0"/>
          <c:showPercent val="0"/>
          <c:showBubbleSize val="0"/>
        </c:dLbls>
        <c:gapWidth val="60"/>
        <c:overlap val="-18"/>
        <c:axId val="89571328"/>
        <c:axId val="89573248"/>
      </c:barChart>
      <c:catAx>
        <c:axId val="89571328"/>
        <c:scaling>
          <c:orientation val="minMax"/>
        </c:scaling>
        <c:delete val="0"/>
        <c:axPos val="b"/>
        <c:title>
          <c:tx>
            <c:rich>
              <a:bodyPr/>
              <a:lstStyle/>
              <a:p>
                <a:pPr>
                  <a:defRPr/>
                </a:pPr>
                <a:r>
                  <a:rPr lang="en-AU"/>
                  <a:t>Financial year</a:t>
                </a:r>
              </a:p>
            </c:rich>
          </c:tx>
          <c:layout/>
          <c:overlay val="0"/>
        </c:title>
        <c:majorTickMark val="out"/>
        <c:minorTickMark val="none"/>
        <c:tickLblPos val="nextTo"/>
        <c:crossAx val="89573248"/>
        <c:crosses val="autoZero"/>
        <c:auto val="1"/>
        <c:lblAlgn val="ctr"/>
        <c:lblOffset val="100"/>
        <c:noMultiLvlLbl val="0"/>
      </c:catAx>
      <c:valAx>
        <c:axId val="89573248"/>
        <c:scaling>
          <c:orientation val="minMax"/>
        </c:scaling>
        <c:delete val="1"/>
        <c:axPos val="l"/>
        <c:numFmt formatCode="#,##0" sourceLinked="0"/>
        <c:majorTickMark val="out"/>
        <c:minorTickMark val="none"/>
        <c:tickLblPos val="nextTo"/>
        <c:crossAx val="89571328"/>
        <c:crosses val="autoZero"/>
        <c:crossBetween val="between"/>
      </c:valAx>
    </c:plotArea>
    <c:legend>
      <c:legendPos val="b"/>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271153951222405"/>
          <c:y val="1.3537109292465455E-2"/>
          <c:w val="0.48709478173983983"/>
          <c:h val="0.97244357268213943"/>
        </c:manualLayout>
      </c:layout>
      <c:barChart>
        <c:barDir val="bar"/>
        <c:grouping val="clustered"/>
        <c:varyColors val="0"/>
        <c:ser>
          <c:idx val="0"/>
          <c:order val="0"/>
          <c:tx>
            <c:strRef>
              <c:f>Sheet1!$B$1</c:f>
              <c:strCache>
                <c:ptCount val="1"/>
                <c:pt idx="0">
                  <c:v>2015-16 (n=1,766)</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Sheet1!$A$2:$A$15</c:f>
              <c:strCache>
                <c:ptCount val="14"/>
                <c:pt idx="0">
                  <c:v>Carers Charter</c:v>
                </c:pt>
                <c:pt idx="1">
                  <c:v>Consent</c:v>
                </c:pt>
                <c:pt idx="2">
                  <c:v>Grievance processes</c:v>
                </c:pt>
                <c:pt idx="3">
                  <c:v>Reports/certificates</c:v>
                </c:pt>
                <c:pt idx="4">
                  <c:v>Environment/management of facilities</c:v>
                </c:pt>
                <c:pt idx="5">
                  <c:v>Discharge and transfer arrangements</c:v>
                </c:pt>
                <c:pt idx="6">
                  <c:v>Professional conduct</c:v>
                </c:pt>
                <c:pt idx="7">
                  <c:v>Medical records</c:v>
                </c:pt>
                <c:pt idx="8">
                  <c:v>Inquiry service only</c:v>
                </c:pt>
                <c:pt idx="9">
                  <c:v>Medication</c:v>
                </c:pt>
                <c:pt idx="10">
                  <c:v>Access</c:v>
                </c:pt>
                <c:pt idx="11">
                  <c:v>Fees and costs</c:v>
                </c:pt>
                <c:pt idx="12">
                  <c:v>Communication and information</c:v>
                </c:pt>
                <c:pt idx="13">
                  <c:v>Treatment</c:v>
                </c:pt>
              </c:strCache>
            </c:strRef>
          </c:cat>
          <c:val>
            <c:numRef>
              <c:f>Sheet1!$B$2:$B$15</c:f>
              <c:numCache>
                <c:formatCode>####.0</c:formatCode>
                <c:ptCount val="14"/>
                <c:pt idx="0">
                  <c:v>0.7</c:v>
                </c:pt>
                <c:pt idx="1">
                  <c:v>1.2</c:v>
                </c:pt>
                <c:pt idx="2" formatCode="###0.0">
                  <c:v>2.7</c:v>
                </c:pt>
                <c:pt idx="3" formatCode="###0.0">
                  <c:v>2.2999999999999998</c:v>
                </c:pt>
                <c:pt idx="4" formatCode="###0.0">
                  <c:v>3.6</c:v>
                </c:pt>
                <c:pt idx="5" formatCode="###0.0">
                  <c:v>2.8</c:v>
                </c:pt>
                <c:pt idx="6" formatCode="###0.0">
                  <c:v>7.8</c:v>
                </c:pt>
                <c:pt idx="7" formatCode="###0.0">
                  <c:v>4.4000000000000004</c:v>
                </c:pt>
                <c:pt idx="8" formatCode="###0.0">
                  <c:v>5.4</c:v>
                </c:pt>
                <c:pt idx="9" formatCode="###0.0">
                  <c:v>6</c:v>
                </c:pt>
                <c:pt idx="10" formatCode="###0.0">
                  <c:v>12.3</c:v>
                </c:pt>
                <c:pt idx="11" formatCode="###0.0">
                  <c:v>16.8</c:v>
                </c:pt>
                <c:pt idx="12" formatCode="###0.0">
                  <c:v>20.6</c:v>
                </c:pt>
                <c:pt idx="13" formatCode="###0.0">
                  <c:v>39.700000000000003</c:v>
                </c:pt>
              </c:numCache>
            </c:numRef>
          </c:val>
        </c:ser>
        <c:ser>
          <c:idx val="1"/>
          <c:order val="1"/>
          <c:tx>
            <c:strRef>
              <c:f>Sheet1!$C$1</c:f>
              <c:strCache>
                <c:ptCount val="1"/>
                <c:pt idx="0">
                  <c:v>2016-17 (n=1,929)</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Sheet1!$A$2:$A$15</c:f>
              <c:strCache>
                <c:ptCount val="14"/>
                <c:pt idx="0">
                  <c:v>Carers Charter</c:v>
                </c:pt>
                <c:pt idx="1">
                  <c:v>Consent</c:v>
                </c:pt>
                <c:pt idx="2">
                  <c:v>Grievance processes</c:v>
                </c:pt>
                <c:pt idx="3">
                  <c:v>Reports/certificates</c:v>
                </c:pt>
                <c:pt idx="4">
                  <c:v>Environment/management of facilities</c:v>
                </c:pt>
                <c:pt idx="5">
                  <c:v>Discharge and transfer arrangements</c:v>
                </c:pt>
                <c:pt idx="6">
                  <c:v>Professional conduct</c:v>
                </c:pt>
                <c:pt idx="7">
                  <c:v>Medical records</c:v>
                </c:pt>
                <c:pt idx="8">
                  <c:v>Inquiry service only</c:v>
                </c:pt>
                <c:pt idx="9">
                  <c:v>Medication</c:v>
                </c:pt>
                <c:pt idx="10">
                  <c:v>Access</c:v>
                </c:pt>
                <c:pt idx="11">
                  <c:v>Fees and costs</c:v>
                </c:pt>
                <c:pt idx="12">
                  <c:v>Communication and information</c:v>
                </c:pt>
                <c:pt idx="13">
                  <c:v>Treatment</c:v>
                </c:pt>
              </c:strCache>
            </c:strRef>
          </c:cat>
          <c:val>
            <c:numRef>
              <c:f>Sheet1!$C$2:$C$15</c:f>
              <c:numCache>
                <c:formatCode>####.0</c:formatCode>
                <c:ptCount val="14"/>
                <c:pt idx="0">
                  <c:v>0.8</c:v>
                </c:pt>
                <c:pt idx="1">
                  <c:v>0.8</c:v>
                </c:pt>
                <c:pt idx="2">
                  <c:v>1.4</c:v>
                </c:pt>
                <c:pt idx="3" formatCode="###0.0">
                  <c:v>2.6</c:v>
                </c:pt>
                <c:pt idx="4" formatCode="###0.0">
                  <c:v>3.6</c:v>
                </c:pt>
                <c:pt idx="5" formatCode="###0.0">
                  <c:v>2.54</c:v>
                </c:pt>
                <c:pt idx="6" formatCode="###0.0">
                  <c:v>6.7</c:v>
                </c:pt>
                <c:pt idx="7" formatCode="###0.0">
                  <c:v>6.6</c:v>
                </c:pt>
                <c:pt idx="8" formatCode="###0.0">
                  <c:v>3.4</c:v>
                </c:pt>
                <c:pt idx="9" formatCode="###0.0">
                  <c:v>8.8000000000000007</c:v>
                </c:pt>
                <c:pt idx="10" formatCode="###0.0">
                  <c:v>14.4</c:v>
                </c:pt>
                <c:pt idx="11" formatCode="###0.0">
                  <c:v>15</c:v>
                </c:pt>
                <c:pt idx="12" formatCode="###0.0">
                  <c:v>17.399999999999999</c:v>
                </c:pt>
                <c:pt idx="13" formatCode="###0.0">
                  <c:v>40.4</c:v>
                </c:pt>
              </c:numCache>
            </c:numRef>
          </c:val>
        </c:ser>
        <c:ser>
          <c:idx val="2"/>
          <c:order val="2"/>
          <c:tx>
            <c:strRef>
              <c:f>Sheet1!$D$1</c:f>
              <c:strCache>
                <c:ptCount val="1"/>
                <c:pt idx="0">
                  <c:v>2017-18 (n=1,894)</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Sheet1!$A$2:$A$15</c:f>
              <c:strCache>
                <c:ptCount val="14"/>
                <c:pt idx="0">
                  <c:v>Carers Charter</c:v>
                </c:pt>
                <c:pt idx="1">
                  <c:v>Consent</c:v>
                </c:pt>
                <c:pt idx="2">
                  <c:v>Grievance processes</c:v>
                </c:pt>
                <c:pt idx="3">
                  <c:v>Reports/certificates</c:v>
                </c:pt>
                <c:pt idx="4">
                  <c:v>Environment/management of facilities</c:v>
                </c:pt>
                <c:pt idx="5">
                  <c:v>Discharge and transfer arrangements</c:v>
                </c:pt>
                <c:pt idx="6">
                  <c:v>Professional conduct</c:v>
                </c:pt>
                <c:pt idx="7">
                  <c:v>Medical records</c:v>
                </c:pt>
                <c:pt idx="8">
                  <c:v>Inquiry service only</c:v>
                </c:pt>
                <c:pt idx="9">
                  <c:v>Medication</c:v>
                </c:pt>
                <c:pt idx="10">
                  <c:v>Access</c:v>
                </c:pt>
                <c:pt idx="11">
                  <c:v>Fees and costs</c:v>
                </c:pt>
                <c:pt idx="12">
                  <c:v>Communication and information</c:v>
                </c:pt>
                <c:pt idx="13">
                  <c:v>Treatment</c:v>
                </c:pt>
              </c:strCache>
            </c:strRef>
          </c:cat>
          <c:val>
            <c:numRef>
              <c:f>Sheet1!$D$2:$D$15</c:f>
              <c:numCache>
                <c:formatCode>General</c:formatCode>
                <c:ptCount val="14"/>
                <c:pt idx="0">
                  <c:v>0.52</c:v>
                </c:pt>
                <c:pt idx="1">
                  <c:v>1.1000000000000001</c:v>
                </c:pt>
                <c:pt idx="2">
                  <c:v>1.8</c:v>
                </c:pt>
                <c:pt idx="3">
                  <c:v>2.4</c:v>
                </c:pt>
                <c:pt idx="4">
                  <c:v>2.7</c:v>
                </c:pt>
                <c:pt idx="5">
                  <c:v>3.2</c:v>
                </c:pt>
                <c:pt idx="6">
                  <c:v>4.0999999999999996</c:v>
                </c:pt>
                <c:pt idx="7">
                  <c:v>4.2</c:v>
                </c:pt>
                <c:pt idx="8">
                  <c:v>6.7</c:v>
                </c:pt>
                <c:pt idx="9">
                  <c:v>11.45</c:v>
                </c:pt>
                <c:pt idx="10">
                  <c:v>14.6</c:v>
                </c:pt>
                <c:pt idx="11">
                  <c:v>14.8</c:v>
                </c:pt>
                <c:pt idx="12">
                  <c:v>25</c:v>
                </c:pt>
                <c:pt idx="13">
                  <c:v>42.1</c:v>
                </c:pt>
              </c:numCache>
            </c:numRef>
          </c:val>
        </c:ser>
        <c:dLbls>
          <c:dLblPos val="outEnd"/>
          <c:showLegendKey val="0"/>
          <c:showVal val="1"/>
          <c:showCatName val="0"/>
          <c:showSerName val="0"/>
          <c:showPercent val="0"/>
          <c:showBubbleSize val="0"/>
        </c:dLbls>
        <c:gapWidth val="60"/>
        <c:overlap val="-20"/>
        <c:axId val="182078080"/>
        <c:axId val="183666944"/>
      </c:barChart>
      <c:catAx>
        <c:axId val="182078080"/>
        <c:scaling>
          <c:orientation val="minMax"/>
        </c:scaling>
        <c:delete val="0"/>
        <c:axPos val="l"/>
        <c:majorTickMark val="out"/>
        <c:minorTickMark val="none"/>
        <c:tickLblPos val="nextTo"/>
        <c:crossAx val="183666944"/>
        <c:crosses val="autoZero"/>
        <c:auto val="1"/>
        <c:lblAlgn val="ctr"/>
        <c:lblOffset val="100"/>
        <c:noMultiLvlLbl val="0"/>
      </c:catAx>
      <c:valAx>
        <c:axId val="183666944"/>
        <c:scaling>
          <c:orientation val="minMax"/>
          <c:max val="45"/>
        </c:scaling>
        <c:delete val="1"/>
        <c:axPos val="b"/>
        <c:numFmt formatCode="0\%" sourceLinked="0"/>
        <c:majorTickMark val="out"/>
        <c:minorTickMark val="none"/>
        <c:tickLblPos val="nextTo"/>
        <c:crossAx val="182078080"/>
        <c:crosses val="autoZero"/>
        <c:crossBetween val="between"/>
        <c:majorUnit val="45"/>
        <c:minorUnit val="45"/>
      </c:valAx>
    </c:plotArea>
    <c:legend>
      <c:legendPos val="r"/>
      <c:layout>
        <c:manualLayout>
          <c:xMode val="edge"/>
          <c:yMode val="edge"/>
          <c:x val="0.66670481004689219"/>
          <c:y val="0.75857817236492642"/>
          <c:w val="0.23188120003518078"/>
          <c:h val="0.11152436827749472"/>
        </c:manualLayout>
      </c:layout>
      <c:overlay val="0"/>
    </c:legend>
    <c:plotVisOnly val="1"/>
    <c:dispBlanksAs val="gap"/>
    <c:showDLblsOverMax val="0"/>
  </c:chart>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7561022285656246"/>
          <c:y val="1.749857854201485E-2"/>
          <c:w val="0.48080898300195513"/>
          <c:h val="0.96192766932579821"/>
        </c:manualLayout>
      </c:layout>
      <c:barChart>
        <c:barDir val="bar"/>
        <c:grouping val="clustered"/>
        <c:varyColors val="0"/>
        <c:ser>
          <c:idx val="0"/>
          <c:order val="0"/>
          <c:tx>
            <c:strRef>
              <c:f>Sheet1!$B$1</c:f>
              <c:strCache>
                <c:ptCount val="1"/>
                <c:pt idx="0">
                  <c:v>2015-16 (n=1,769)</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All other service types*</c:v>
                </c:pt>
                <c:pt idx="1">
                  <c:v>Optometrist</c:v>
                </c:pt>
                <c:pt idx="2">
                  <c:v>Obstetrics/maternity</c:v>
                </c:pt>
                <c:pt idx="3">
                  <c:v>General medicine</c:v>
                </c:pt>
                <c:pt idx="4">
                  <c:v>Administration</c:v>
                </c:pt>
                <c:pt idx="5">
                  <c:v>General surgery/surgeon</c:v>
                </c:pt>
                <c:pt idx="6">
                  <c:v>Orthopaedics/orthopaedic surgeon</c:v>
                </c:pt>
                <c:pt idx="7">
                  <c:v>Emergency/A &amp; E</c:v>
                </c:pt>
                <c:pt idx="8">
                  <c:v>Dental health services</c:v>
                </c:pt>
                <c:pt idx="9">
                  <c:v>General pactice/practitioner</c:v>
                </c:pt>
                <c:pt idx="10">
                  <c:v>Prison health service</c:v>
                </c:pt>
              </c:strCache>
            </c:strRef>
          </c:cat>
          <c:val>
            <c:numRef>
              <c:f>Sheet1!$B$2:$B$12</c:f>
              <c:numCache>
                <c:formatCode>###0.0</c:formatCode>
                <c:ptCount val="11"/>
                <c:pt idx="0">
                  <c:v>33.352176370830975</c:v>
                </c:pt>
                <c:pt idx="1">
                  <c:v>2.0350480497456189</c:v>
                </c:pt>
                <c:pt idx="2">
                  <c:v>1.5828151498021481</c:v>
                </c:pt>
                <c:pt idx="3">
                  <c:v>1.9219898247597511</c:v>
                </c:pt>
                <c:pt idx="4">
                  <c:v>3.617863199547767</c:v>
                </c:pt>
                <c:pt idx="5">
                  <c:v>3.3352176370830979</c:v>
                </c:pt>
                <c:pt idx="6">
                  <c:v>3.8439796495195022</c:v>
                </c:pt>
                <c:pt idx="7">
                  <c:v>6.2182023742227246</c:v>
                </c:pt>
                <c:pt idx="8">
                  <c:v>10.853589598643302</c:v>
                </c:pt>
                <c:pt idx="9">
                  <c:v>19.050310910118711</c:v>
                </c:pt>
                <c:pt idx="10">
                  <c:v>14.188807235726401</c:v>
                </c:pt>
              </c:numCache>
            </c:numRef>
          </c:val>
        </c:ser>
        <c:ser>
          <c:idx val="1"/>
          <c:order val="1"/>
          <c:tx>
            <c:strRef>
              <c:f>Sheet1!$C$1</c:f>
              <c:strCache>
                <c:ptCount val="1"/>
                <c:pt idx="0">
                  <c:v>2016-17 (n=1,929)</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All other service types*</c:v>
                </c:pt>
                <c:pt idx="1">
                  <c:v>Optometrist</c:v>
                </c:pt>
                <c:pt idx="2">
                  <c:v>Obstetrics/maternity</c:v>
                </c:pt>
                <c:pt idx="3">
                  <c:v>General medicine</c:v>
                </c:pt>
                <c:pt idx="4">
                  <c:v>Administration</c:v>
                </c:pt>
                <c:pt idx="5">
                  <c:v>General surgery/surgeon</c:v>
                </c:pt>
                <c:pt idx="6">
                  <c:v>Orthopaedics/orthopaedic surgeon</c:v>
                </c:pt>
                <c:pt idx="7">
                  <c:v>Emergency/A &amp; E</c:v>
                </c:pt>
                <c:pt idx="8">
                  <c:v>Dental health services</c:v>
                </c:pt>
                <c:pt idx="9">
                  <c:v>General pactice/practitioner</c:v>
                </c:pt>
                <c:pt idx="10">
                  <c:v>Prison health service</c:v>
                </c:pt>
              </c:strCache>
            </c:strRef>
          </c:cat>
          <c:val>
            <c:numRef>
              <c:f>Sheet1!$C$2:$C$12</c:f>
              <c:numCache>
                <c:formatCode>###0.0</c:formatCode>
                <c:ptCount val="11"/>
                <c:pt idx="0">
                  <c:v>31.985484707102124</c:v>
                </c:pt>
                <c:pt idx="1">
                  <c:v>1.5033696215655781</c:v>
                </c:pt>
                <c:pt idx="2">
                  <c:v>2.2291342664593055</c:v>
                </c:pt>
                <c:pt idx="3">
                  <c:v>2.6438569206842923</c:v>
                </c:pt>
                <c:pt idx="4">
                  <c:v>2.7993779160186625</c:v>
                </c:pt>
                <c:pt idx="5">
                  <c:v>3.0067392431311561</c:v>
                </c:pt>
                <c:pt idx="6">
                  <c:v>3.2659409020217729</c:v>
                </c:pt>
                <c:pt idx="7">
                  <c:v>5.0285121824779679</c:v>
                </c:pt>
                <c:pt idx="8">
                  <c:v>10.212545360290305</c:v>
                </c:pt>
                <c:pt idx="9">
                  <c:v>19.284603421461895</c:v>
                </c:pt>
                <c:pt idx="10">
                  <c:v>18.040435458786934</c:v>
                </c:pt>
              </c:numCache>
            </c:numRef>
          </c:val>
        </c:ser>
        <c:ser>
          <c:idx val="2"/>
          <c:order val="2"/>
          <c:tx>
            <c:strRef>
              <c:f>Sheet1!$D$1</c:f>
              <c:strCache>
                <c:ptCount val="1"/>
                <c:pt idx="0">
                  <c:v>2017-18 (n=1,894)</c:v>
                </c:pt>
              </c:strCache>
            </c:strRef>
          </c:tx>
          <c:spPr>
            <a:solidFill>
              <a:schemeClr val="bg1">
                <a:lumMod val="75000"/>
              </a:schemeClr>
            </a:solidFill>
            <a:ln>
              <a:no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All other service types*</c:v>
                </c:pt>
                <c:pt idx="1">
                  <c:v>Optometrist</c:v>
                </c:pt>
                <c:pt idx="2">
                  <c:v>Obstetrics/maternity</c:v>
                </c:pt>
                <c:pt idx="3">
                  <c:v>General medicine</c:v>
                </c:pt>
                <c:pt idx="4">
                  <c:v>Administration</c:v>
                </c:pt>
                <c:pt idx="5">
                  <c:v>General surgery/surgeon</c:v>
                </c:pt>
                <c:pt idx="6">
                  <c:v>Orthopaedics/orthopaedic surgeon</c:v>
                </c:pt>
                <c:pt idx="7">
                  <c:v>Emergency/A &amp; E</c:v>
                </c:pt>
                <c:pt idx="8">
                  <c:v>Dental health services</c:v>
                </c:pt>
                <c:pt idx="9">
                  <c:v>General pactice/practitioner</c:v>
                </c:pt>
                <c:pt idx="10">
                  <c:v>Prison health service</c:v>
                </c:pt>
              </c:strCache>
            </c:strRef>
          </c:cat>
          <c:val>
            <c:numRef>
              <c:f>Sheet1!$D$2:$D$12</c:f>
              <c:numCache>
                <c:formatCode>###0.0</c:formatCode>
                <c:ptCount val="11"/>
                <c:pt idx="0">
                  <c:v>31.7</c:v>
                </c:pt>
                <c:pt idx="1">
                  <c:v>1.4</c:v>
                </c:pt>
                <c:pt idx="2">
                  <c:v>1.9</c:v>
                </c:pt>
                <c:pt idx="3">
                  <c:v>1.9</c:v>
                </c:pt>
                <c:pt idx="4">
                  <c:v>2.1</c:v>
                </c:pt>
                <c:pt idx="5">
                  <c:v>2.7</c:v>
                </c:pt>
                <c:pt idx="6">
                  <c:v>2.9</c:v>
                </c:pt>
                <c:pt idx="7">
                  <c:v>6.3</c:v>
                </c:pt>
                <c:pt idx="8">
                  <c:v>10.4</c:v>
                </c:pt>
                <c:pt idx="9">
                  <c:v>19.284603421461895</c:v>
                </c:pt>
                <c:pt idx="10">
                  <c:v>19.48</c:v>
                </c:pt>
              </c:numCache>
            </c:numRef>
          </c:val>
        </c:ser>
        <c:dLbls>
          <c:dLblPos val="outEnd"/>
          <c:showLegendKey val="0"/>
          <c:showVal val="1"/>
          <c:showCatName val="0"/>
          <c:showSerName val="0"/>
          <c:showPercent val="0"/>
          <c:showBubbleSize val="0"/>
        </c:dLbls>
        <c:gapWidth val="65"/>
        <c:overlap val="-15"/>
        <c:axId val="196106112"/>
        <c:axId val="196120576"/>
      </c:barChart>
      <c:catAx>
        <c:axId val="196106112"/>
        <c:scaling>
          <c:orientation val="minMax"/>
        </c:scaling>
        <c:delete val="0"/>
        <c:axPos val="l"/>
        <c:majorTickMark val="out"/>
        <c:minorTickMark val="none"/>
        <c:tickLblPos val="nextTo"/>
        <c:crossAx val="196120576"/>
        <c:crosses val="autoZero"/>
        <c:auto val="1"/>
        <c:lblAlgn val="ctr"/>
        <c:lblOffset val="100"/>
        <c:noMultiLvlLbl val="0"/>
      </c:catAx>
      <c:valAx>
        <c:axId val="196120576"/>
        <c:scaling>
          <c:orientation val="minMax"/>
          <c:max val="80"/>
        </c:scaling>
        <c:delete val="1"/>
        <c:axPos val="b"/>
        <c:numFmt formatCode="0\%" sourceLinked="0"/>
        <c:majorTickMark val="out"/>
        <c:minorTickMark val="none"/>
        <c:tickLblPos val="nextTo"/>
        <c:crossAx val="196106112"/>
        <c:crosses val="autoZero"/>
        <c:crossBetween val="between"/>
        <c:majorUnit val="20"/>
        <c:minorUnit val="20"/>
      </c:valAx>
    </c:plotArea>
    <c:legend>
      <c:legendPos val="r"/>
      <c:layout>
        <c:manualLayout>
          <c:xMode val="edge"/>
          <c:yMode val="edge"/>
          <c:x val="0.64244499173286163"/>
          <c:y val="0.66572891757826091"/>
          <c:w val="0.26777319841129837"/>
          <c:h val="0.13086970481751267"/>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271153951222405"/>
          <c:y val="1.3537109292465455E-2"/>
          <c:w val="0.48709478173983983"/>
          <c:h val="0.97244357268213943"/>
        </c:manualLayout>
      </c:layout>
      <c:barChart>
        <c:barDir val="bar"/>
        <c:grouping val="clustered"/>
        <c:varyColors val="0"/>
        <c:ser>
          <c:idx val="0"/>
          <c:order val="0"/>
          <c:tx>
            <c:strRef>
              <c:f>Sheet1!$B$1</c:f>
              <c:strCache>
                <c:ptCount val="1"/>
                <c:pt idx="0">
                  <c:v>Dental health services (n=197)</c:v>
                </c:pt>
              </c:strCache>
            </c:strRef>
          </c:tx>
          <c:spPr>
            <a:solidFill>
              <a:srgbClr val="2487AA"/>
            </a:solidFill>
            <a:ln>
              <a:noFill/>
            </a:ln>
          </c:spPr>
          <c:invertIfNegative val="0"/>
          <c:dPt>
            <c:idx val="13"/>
            <c:invertIfNegative val="0"/>
            <c:bubble3D val="0"/>
          </c:dPt>
          <c:dLbls>
            <c:numFmt formatCode="0\%" sourceLinked="0"/>
            <c:dLblPos val="outEnd"/>
            <c:showLegendKey val="0"/>
            <c:showVal val="1"/>
            <c:showCatName val="0"/>
            <c:showSerName val="0"/>
            <c:showPercent val="0"/>
            <c:showBubbleSize val="0"/>
            <c:showLeaderLines val="0"/>
          </c:dLbls>
          <c:cat>
            <c:strRef>
              <c:f>Sheet1!$A$2:$A$15</c:f>
              <c:strCache>
                <c:ptCount val="14"/>
                <c:pt idx="0">
                  <c:v>Carers Charter</c:v>
                </c:pt>
                <c:pt idx="1">
                  <c:v>Consent</c:v>
                </c:pt>
                <c:pt idx="2">
                  <c:v>Grievance processes</c:v>
                </c:pt>
                <c:pt idx="3">
                  <c:v>Reports/certificates</c:v>
                </c:pt>
                <c:pt idx="4">
                  <c:v>Professional conduct</c:v>
                </c:pt>
                <c:pt idx="5">
                  <c:v>Fees and costs</c:v>
                </c:pt>
                <c:pt idx="6">
                  <c:v>Medical records</c:v>
                </c:pt>
                <c:pt idx="7">
                  <c:v>Discharge and transfer arrangements</c:v>
                </c:pt>
                <c:pt idx="8">
                  <c:v>Environment/management of facilities</c:v>
                </c:pt>
                <c:pt idx="9">
                  <c:v>Inquiry service only</c:v>
                </c:pt>
                <c:pt idx="10">
                  <c:v>Communication and information</c:v>
                </c:pt>
                <c:pt idx="11">
                  <c:v>Medication</c:v>
                </c:pt>
                <c:pt idx="12">
                  <c:v>Access</c:v>
                </c:pt>
                <c:pt idx="13">
                  <c:v>Treatment</c:v>
                </c:pt>
              </c:strCache>
            </c:strRef>
          </c:cat>
          <c:val>
            <c:numRef>
              <c:f>Sheet1!$B$2:$B$15</c:f>
              <c:numCache>
                <c:formatCode>####.0</c:formatCode>
                <c:ptCount val="14"/>
                <c:pt idx="0">
                  <c:v>0.5</c:v>
                </c:pt>
                <c:pt idx="1">
                  <c:v>1</c:v>
                </c:pt>
                <c:pt idx="2" formatCode="###0.0">
                  <c:v>0.5</c:v>
                </c:pt>
                <c:pt idx="3" formatCode="###0.0">
                  <c:v>0</c:v>
                </c:pt>
                <c:pt idx="4" formatCode="###0.0">
                  <c:v>4.0999999999999996</c:v>
                </c:pt>
                <c:pt idx="5" formatCode="###0.0">
                  <c:v>28.4</c:v>
                </c:pt>
                <c:pt idx="6" formatCode="###0.0">
                  <c:v>1.5</c:v>
                </c:pt>
                <c:pt idx="7" formatCode="###0.0">
                  <c:v>0</c:v>
                </c:pt>
                <c:pt idx="8" formatCode="###0.0">
                  <c:v>1</c:v>
                </c:pt>
                <c:pt idx="9" formatCode="###0.0">
                  <c:v>5.6</c:v>
                </c:pt>
                <c:pt idx="10" formatCode="###0.0">
                  <c:v>12.7</c:v>
                </c:pt>
                <c:pt idx="11" formatCode="###0.0">
                  <c:v>0.5</c:v>
                </c:pt>
                <c:pt idx="12" formatCode="###0.0">
                  <c:v>18.3</c:v>
                </c:pt>
                <c:pt idx="13" formatCode="###0.0">
                  <c:v>57.4</c:v>
                </c:pt>
              </c:numCache>
            </c:numRef>
          </c:val>
        </c:ser>
        <c:ser>
          <c:idx val="1"/>
          <c:order val="1"/>
          <c:tx>
            <c:strRef>
              <c:f>Sheet1!$C$1</c:f>
              <c:strCache>
                <c:ptCount val="1"/>
                <c:pt idx="0">
                  <c:v>General practice/practitioner (n=365)</c:v>
                </c:pt>
              </c:strCache>
            </c:strRef>
          </c:tx>
          <c:spPr>
            <a:solidFill>
              <a:srgbClr val="F7B71E"/>
            </a:solidFill>
            <a:ln>
              <a:noFill/>
            </a:ln>
          </c:spPr>
          <c:invertIfNegative val="0"/>
          <c:dLbls>
            <c:dLbl>
              <c:idx val="0"/>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Sheet1!$A$2:$A$15</c:f>
              <c:strCache>
                <c:ptCount val="14"/>
                <c:pt idx="0">
                  <c:v>Carers Charter</c:v>
                </c:pt>
                <c:pt idx="1">
                  <c:v>Consent</c:v>
                </c:pt>
                <c:pt idx="2">
                  <c:v>Grievance processes</c:v>
                </c:pt>
                <c:pt idx="3">
                  <c:v>Reports/certificates</c:v>
                </c:pt>
                <c:pt idx="4">
                  <c:v>Professional conduct</c:v>
                </c:pt>
                <c:pt idx="5">
                  <c:v>Fees and costs</c:v>
                </c:pt>
                <c:pt idx="6">
                  <c:v>Medical records</c:v>
                </c:pt>
                <c:pt idx="7">
                  <c:v>Discharge and transfer arrangements</c:v>
                </c:pt>
                <c:pt idx="8">
                  <c:v>Environment/management of facilities</c:v>
                </c:pt>
                <c:pt idx="9">
                  <c:v>Inquiry service only</c:v>
                </c:pt>
                <c:pt idx="10">
                  <c:v>Communication and information</c:v>
                </c:pt>
                <c:pt idx="11">
                  <c:v>Medication</c:v>
                </c:pt>
                <c:pt idx="12">
                  <c:v>Access</c:v>
                </c:pt>
                <c:pt idx="13">
                  <c:v>Treatment</c:v>
                </c:pt>
              </c:strCache>
            </c:strRef>
          </c:cat>
          <c:val>
            <c:numRef>
              <c:f>Sheet1!$C$2:$C$15</c:f>
              <c:numCache>
                <c:formatCode>General</c:formatCode>
                <c:ptCount val="14"/>
                <c:pt idx="0">
                  <c:v>0.3</c:v>
                </c:pt>
                <c:pt idx="1">
                  <c:v>0.5</c:v>
                </c:pt>
                <c:pt idx="2">
                  <c:v>1.9</c:v>
                </c:pt>
                <c:pt idx="3">
                  <c:v>5.2</c:v>
                </c:pt>
                <c:pt idx="4">
                  <c:v>5.47</c:v>
                </c:pt>
                <c:pt idx="5">
                  <c:v>18.399999999999999</c:v>
                </c:pt>
                <c:pt idx="6">
                  <c:v>12.6</c:v>
                </c:pt>
                <c:pt idx="7">
                  <c:v>0.5</c:v>
                </c:pt>
                <c:pt idx="8">
                  <c:v>4.4000000000000004</c:v>
                </c:pt>
                <c:pt idx="9">
                  <c:v>6.8</c:v>
                </c:pt>
                <c:pt idx="10">
                  <c:v>36.700000000000003</c:v>
                </c:pt>
                <c:pt idx="11">
                  <c:v>9</c:v>
                </c:pt>
                <c:pt idx="12">
                  <c:v>8.1999999999999993</c:v>
                </c:pt>
                <c:pt idx="13">
                  <c:v>27.1</c:v>
                </c:pt>
              </c:numCache>
            </c:numRef>
          </c:val>
        </c:ser>
        <c:ser>
          <c:idx val="2"/>
          <c:order val="2"/>
          <c:tx>
            <c:strRef>
              <c:f>Sheet1!$D$1</c:f>
              <c:strCache>
                <c:ptCount val="1"/>
                <c:pt idx="0">
                  <c:v>Prison health service (n=369)</c:v>
                </c:pt>
              </c:strCache>
            </c:strRef>
          </c:tx>
          <c:spPr>
            <a:solidFill>
              <a:srgbClr val="04425E"/>
            </a:solidFill>
            <a:ln>
              <a:noFill/>
            </a:ln>
          </c:spPr>
          <c:invertIfNegative val="0"/>
          <c:dLbls>
            <c:dLbl>
              <c:idx val="3"/>
              <c:tx>
                <c:rich>
                  <a:bodyPr/>
                  <a:lstStyle/>
                  <a:p>
                    <a:r>
                      <a:rPr lang="en-US"/>
                      <a:t>&lt;1%</a:t>
                    </a:r>
                  </a:p>
                </c:rich>
              </c:tx>
              <c:dLblPos val="outEnd"/>
              <c:showLegendKey val="0"/>
              <c:showVal val="1"/>
              <c:showCatName val="0"/>
              <c:showSerName val="0"/>
              <c:showPercent val="0"/>
              <c:showBubbleSize val="0"/>
            </c:dLbl>
            <c:dLbl>
              <c:idx val="4"/>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Sheet1!$A$2:$A$15</c:f>
              <c:strCache>
                <c:ptCount val="14"/>
                <c:pt idx="0">
                  <c:v>Carers Charter</c:v>
                </c:pt>
                <c:pt idx="1">
                  <c:v>Consent</c:v>
                </c:pt>
                <c:pt idx="2">
                  <c:v>Grievance processes</c:v>
                </c:pt>
                <c:pt idx="3">
                  <c:v>Reports/certificates</c:v>
                </c:pt>
                <c:pt idx="4">
                  <c:v>Professional conduct</c:v>
                </c:pt>
                <c:pt idx="5">
                  <c:v>Fees and costs</c:v>
                </c:pt>
                <c:pt idx="6">
                  <c:v>Medical records</c:v>
                </c:pt>
                <c:pt idx="7">
                  <c:v>Discharge and transfer arrangements</c:v>
                </c:pt>
                <c:pt idx="8">
                  <c:v>Environment/management of facilities</c:v>
                </c:pt>
                <c:pt idx="9">
                  <c:v>Inquiry service only</c:v>
                </c:pt>
                <c:pt idx="10">
                  <c:v>Communication and information</c:v>
                </c:pt>
                <c:pt idx="11">
                  <c:v>Medication</c:v>
                </c:pt>
                <c:pt idx="12">
                  <c:v>Access</c:v>
                </c:pt>
                <c:pt idx="13">
                  <c:v>Treatment</c:v>
                </c:pt>
              </c:strCache>
            </c:strRef>
          </c:cat>
          <c:val>
            <c:numRef>
              <c:f>Sheet1!$D$2:$D$15</c:f>
              <c:numCache>
                <c:formatCode>####.0</c:formatCode>
                <c:ptCount val="14"/>
                <c:pt idx="0">
                  <c:v>0</c:v>
                </c:pt>
                <c:pt idx="1">
                  <c:v>0</c:v>
                </c:pt>
                <c:pt idx="2">
                  <c:v>0</c:v>
                </c:pt>
                <c:pt idx="3" formatCode="###0.0">
                  <c:v>0.3</c:v>
                </c:pt>
                <c:pt idx="4" formatCode="###0.0">
                  <c:v>0.3</c:v>
                </c:pt>
                <c:pt idx="5" formatCode="###0.0">
                  <c:v>0.5</c:v>
                </c:pt>
                <c:pt idx="6" formatCode="###0.0">
                  <c:v>0.8</c:v>
                </c:pt>
                <c:pt idx="7" formatCode="###0.0">
                  <c:v>1.1000000000000001</c:v>
                </c:pt>
                <c:pt idx="8" formatCode="###0.0">
                  <c:v>1.4</c:v>
                </c:pt>
                <c:pt idx="9" formatCode="###0.0">
                  <c:v>3.5</c:v>
                </c:pt>
                <c:pt idx="10" formatCode="###0.0">
                  <c:v>10</c:v>
                </c:pt>
                <c:pt idx="11" formatCode="###0.0">
                  <c:v>30.6</c:v>
                </c:pt>
                <c:pt idx="12" formatCode="###0.0">
                  <c:v>36.299999999999997</c:v>
                </c:pt>
                <c:pt idx="13" formatCode="###0.0">
                  <c:v>36.6</c:v>
                </c:pt>
              </c:numCache>
            </c:numRef>
          </c:val>
        </c:ser>
        <c:dLbls>
          <c:dLblPos val="outEnd"/>
          <c:showLegendKey val="0"/>
          <c:showVal val="1"/>
          <c:showCatName val="0"/>
          <c:showSerName val="0"/>
          <c:showPercent val="0"/>
          <c:showBubbleSize val="0"/>
        </c:dLbls>
        <c:gapWidth val="60"/>
        <c:overlap val="-20"/>
        <c:axId val="228290944"/>
        <c:axId val="228292864"/>
      </c:barChart>
      <c:catAx>
        <c:axId val="228290944"/>
        <c:scaling>
          <c:orientation val="minMax"/>
        </c:scaling>
        <c:delete val="0"/>
        <c:axPos val="l"/>
        <c:majorTickMark val="out"/>
        <c:minorTickMark val="none"/>
        <c:tickLblPos val="nextTo"/>
        <c:crossAx val="228292864"/>
        <c:crosses val="autoZero"/>
        <c:auto val="1"/>
        <c:lblAlgn val="ctr"/>
        <c:lblOffset val="100"/>
        <c:noMultiLvlLbl val="0"/>
      </c:catAx>
      <c:valAx>
        <c:axId val="228292864"/>
        <c:scaling>
          <c:orientation val="minMax"/>
          <c:max val="60"/>
        </c:scaling>
        <c:delete val="1"/>
        <c:axPos val="b"/>
        <c:numFmt formatCode="0\%" sourceLinked="0"/>
        <c:majorTickMark val="out"/>
        <c:minorTickMark val="none"/>
        <c:tickLblPos val="nextTo"/>
        <c:crossAx val="228290944"/>
        <c:crosses val="autoZero"/>
        <c:crossBetween val="between"/>
        <c:majorUnit val="60"/>
        <c:minorUnit val="60"/>
      </c:valAx>
    </c:plotArea>
    <c:legend>
      <c:legendPos val="r"/>
      <c:layout>
        <c:manualLayout>
          <c:xMode val="edge"/>
          <c:yMode val="edge"/>
          <c:x val="0.61497053609039598"/>
          <c:y val="0.72154117990153188"/>
          <c:w val="0.37070492298712476"/>
          <c:h val="0.11799564270152506"/>
        </c:manualLayout>
      </c:layout>
      <c:overlay val="0"/>
    </c:legend>
    <c:plotVisOnly val="1"/>
    <c:dispBlanksAs val="gap"/>
    <c:showDLblsOverMax val="0"/>
  </c:chart>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397029773793999E-2"/>
          <c:y val="0.21989167131760248"/>
          <c:w val="0.9742232137160558"/>
          <c:h val="0.6270396768031653"/>
        </c:manualLayout>
      </c:layout>
      <c:barChart>
        <c:barDir val="col"/>
        <c:grouping val="clustered"/>
        <c:varyColors val="0"/>
        <c:ser>
          <c:idx val="0"/>
          <c:order val="0"/>
          <c:tx>
            <c:strRef>
              <c:f>Sheet1!$B$1</c:f>
              <c:strCache>
                <c:ptCount val="1"/>
                <c:pt idx="0">
                  <c:v>2015-16 (n=8,052)</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Sheet1!$A$2:$A$4</c:f>
              <c:strCache>
                <c:ptCount val="3"/>
                <c:pt idx="0">
                  <c:v>Self</c:v>
                </c:pt>
                <c:pt idx="1">
                  <c:v>Representative</c:v>
                </c:pt>
                <c:pt idx="2">
                  <c:v>Unknown</c:v>
                </c:pt>
              </c:strCache>
            </c:strRef>
          </c:cat>
          <c:val>
            <c:numRef>
              <c:f>Sheet1!$B$2:$B$4</c:f>
              <c:numCache>
                <c:formatCode>General</c:formatCode>
                <c:ptCount val="3"/>
                <c:pt idx="0">
                  <c:v>65</c:v>
                </c:pt>
                <c:pt idx="1">
                  <c:v>35</c:v>
                </c:pt>
                <c:pt idx="2">
                  <c:v>0</c:v>
                </c:pt>
              </c:numCache>
            </c:numRef>
          </c:val>
        </c:ser>
        <c:ser>
          <c:idx val="1"/>
          <c:order val="1"/>
          <c:tx>
            <c:strRef>
              <c:f>Sheet1!$C$1</c:f>
              <c:strCache>
                <c:ptCount val="1"/>
                <c:pt idx="0">
                  <c:v>2016-17 (n=7,569)</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Sheet1!$A$2:$A$4</c:f>
              <c:strCache>
                <c:ptCount val="3"/>
                <c:pt idx="0">
                  <c:v>Self</c:v>
                </c:pt>
                <c:pt idx="1">
                  <c:v>Representative</c:v>
                </c:pt>
                <c:pt idx="2">
                  <c:v>Unknown</c:v>
                </c:pt>
              </c:strCache>
            </c:strRef>
          </c:cat>
          <c:val>
            <c:numRef>
              <c:f>Sheet1!$C$2:$C$4</c:f>
              <c:numCache>
                <c:formatCode>General</c:formatCode>
                <c:ptCount val="3"/>
                <c:pt idx="0">
                  <c:v>66</c:v>
                </c:pt>
                <c:pt idx="1">
                  <c:v>33</c:v>
                </c:pt>
                <c:pt idx="2">
                  <c:v>1</c:v>
                </c:pt>
              </c:numCache>
            </c:numRef>
          </c:val>
        </c:ser>
        <c:ser>
          <c:idx val="2"/>
          <c:order val="2"/>
          <c:tx>
            <c:strRef>
              <c:f>Sheet1!$D$1</c:f>
              <c:strCache>
                <c:ptCount val="1"/>
                <c:pt idx="0">
                  <c:v>2017-18 (n=6,850)</c:v>
                </c:pt>
              </c:strCache>
            </c:strRef>
          </c:tx>
          <c:spPr>
            <a:solidFill>
              <a:schemeClr val="bg1">
                <a:lumMod val="75000"/>
              </a:schemeClr>
            </a:solidFill>
            <a:ln>
              <a:solidFill>
                <a:schemeClr val="bg1">
                  <a:lumMod val="75000"/>
                </a:schemeClr>
              </a:solidFill>
            </a:ln>
          </c:spPr>
          <c:invertIfNegative val="0"/>
          <c:dLbls>
            <c:numFmt formatCode="0\%" sourceLinked="0"/>
            <c:dLblPos val="outEnd"/>
            <c:showLegendKey val="0"/>
            <c:showVal val="1"/>
            <c:showCatName val="0"/>
            <c:showSerName val="0"/>
            <c:showPercent val="0"/>
            <c:showBubbleSize val="0"/>
            <c:showLeaderLines val="0"/>
          </c:dLbls>
          <c:cat>
            <c:strRef>
              <c:f>Sheet1!$A$2:$A$4</c:f>
              <c:strCache>
                <c:ptCount val="3"/>
                <c:pt idx="0">
                  <c:v>Self</c:v>
                </c:pt>
                <c:pt idx="1">
                  <c:v>Representative</c:v>
                </c:pt>
                <c:pt idx="2">
                  <c:v>Unknown</c:v>
                </c:pt>
              </c:strCache>
            </c:strRef>
          </c:cat>
          <c:val>
            <c:numRef>
              <c:f>Sheet1!$D$2:$D$4</c:f>
              <c:numCache>
                <c:formatCode>General</c:formatCode>
                <c:ptCount val="3"/>
                <c:pt idx="0">
                  <c:v>66</c:v>
                </c:pt>
                <c:pt idx="1">
                  <c:v>34</c:v>
                </c:pt>
                <c:pt idx="2">
                  <c:v>0</c:v>
                </c:pt>
              </c:numCache>
            </c:numRef>
          </c:val>
        </c:ser>
        <c:dLbls>
          <c:dLblPos val="outEnd"/>
          <c:showLegendKey val="0"/>
          <c:showVal val="1"/>
          <c:showCatName val="0"/>
          <c:showSerName val="0"/>
          <c:showPercent val="0"/>
          <c:showBubbleSize val="0"/>
        </c:dLbls>
        <c:gapWidth val="150"/>
        <c:overlap val="-15"/>
        <c:axId val="230373632"/>
        <c:axId val="230421632"/>
      </c:barChart>
      <c:catAx>
        <c:axId val="230373632"/>
        <c:scaling>
          <c:orientation val="minMax"/>
        </c:scaling>
        <c:delete val="0"/>
        <c:axPos val="b"/>
        <c:majorTickMark val="out"/>
        <c:minorTickMark val="none"/>
        <c:tickLblPos val="nextTo"/>
        <c:crossAx val="230421632"/>
        <c:crosses val="autoZero"/>
        <c:auto val="1"/>
        <c:lblAlgn val="ctr"/>
        <c:lblOffset val="100"/>
        <c:noMultiLvlLbl val="0"/>
      </c:catAx>
      <c:valAx>
        <c:axId val="230421632"/>
        <c:scaling>
          <c:orientation val="minMax"/>
          <c:max val="80"/>
        </c:scaling>
        <c:delete val="1"/>
        <c:axPos val="l"/>
        <c:numFmt formatCode="0\%" sourceLinked="0"/>
        <c:majorTickMark val="out"/>
        <c:minorTickMark val="none"/>
        <c:tickLblPos val="nextTo"/>
        <c:crossAx val="230373632"/>
        <c:crosses val="autoZero"/>
        <c:crossBetween val="between"/>
        <c:majorUnit val="20"/>
        <c:minorUnit val="20"/>
      </c:valAx>
    </c:plotArea>
    <c:legend>
      <c:legendPos val="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157109990880768"/>
          <c:y val="1.9817887228788883E-2"/>
          <c:w val="0.5482353594689553"/>
          <c:h val="0.96243406931764508"/>
        </c:manualLayout>
      </c:layout>
      <c:barChart>
        <c:barDir val="bar"/>
        <c:grouping val="clustered"/>
        <c:varyColors val="0"/>
        <c:ser>
          <c:idx val="0"/>
          <c:order val="0"/>
          <c:tx>
            <c:strRef>
              <c:f>Sheet1!$B$1</c:f>
              <c:strCache>
                <c:ptCount val="1"/>
                <c:pt idx="0">
                  <c:v>2015-16 (n=8,052)</c:v>
                </c:pt>
              </c:strCache>
            </c:strRef>
          </c:tx>
          <c:spPr>
            <a:solidFill>
              <a:srgbClr val="2487C4"/>
            </a:solidFill>
            <a:ln>
              <a:solidFill>
                <a:srgbClr val="2487C4"/>
              </a:solidFill>
            </a:ln>
          </c:spPr>
          <c:invertIfNegative val="0"/>
          <c:dLbls>
            <c:dLbl>
              <c:idx val="2"/>
              <c:tx>
                <c:rich>
                  <a:bodyPr/>
                  <a:lstStyle/>
                  <a:p>
                    <a:r>
                      <a:rPr lang="en-US"/>
                      <a:t>&lt;1%</a:t>
                    </a:r>
                  </a:p>
                </c:rich>
              </c:tx>
              <c:dLblPos val="outEnd"/>
              <c:showLegendKey val="0"/>
              <c:showVal val="1"/>
              <c:showCatName val="0"/>
              <c:showSerName val="0"/>
              <c:showPercent val="0"/>
              <c:showBubbleSize val="0"/>
            </c:dLbl>
            <c:dLbl>
              <c:idx val="3"/>
              <c:tx>
                <c:rich>
                  <a:bodyPr/>
                  <a:lstStyle/>
                  <a:p>
                    <a:r>
                      <a:rPr lang="en-US"/>
                      <a:t>&lt;1%</a:t>
                    </a:r>
                  </a:p>
                </c:rich>
              </c:tx>
              <c:dLblPos val="outEnd"/>
              <c:showLegendKey val="0"/>
              <c:showVal val="1"/>
              <c:showCatName val="0"/>
              <c:showSerName val="0"/>
              <c:showPercent val="0"/>
              <c:showBubbleSize val="0"/>
            </c:dLbl>
            <c:dLbl>
              <c:idx val="4"/>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Sheet1!$A$2:$A$12</c:f>
              <c:strCache>
                <c:ptCount val="11"/>
                <c:pt idx="0">
                  <c:v>Complaint not yet resolved</c:v>
                </c:pt>
                <c:pt idx="1">
                  <c:v>Unknown time taken to resolve complaint</c:v>
                </c:pt>
                <c:pt idx="2">
                  <c:v>211+ days</c:v>
                </c:pt>
                <c:pt idx="3">
                  <c:v>181-210 days</c:v>
                </c:pt>
                <c:pt idx="4">
                  <c:v>151-180 days</c:v>
                </c:pt>
                <c:pt idx="5">
                  <c:v>121-150 days</c:v>
                </c:pt>
                <c:pt idx="6">
                  <c:v>91-120 days</c:v>
                </c:pt>
                <c:pt idx="7">
                  <c:v>61-90 days</c:v>
                </c:pt>
                <c:pt idx="8">
                  <c:v>31-60 days</c:v>
                </c:pt>
                <c:pt idx="9">
                  <c:v>16-30 days</c:v>
                </c:pt>
                <c:pt idx="10">
                  <c:v>0-15 days</c:v>
                </c:pt>
              </c:strCache>
            </c:strRef>
          </c:cat>
          <c:val>
            <c:numRef>
              <c:f>Sheet1!$B$2:$B$12</c:f>
              <c:numCache>
                <c:formatCode>###0.00</c:formatCode>
                <c:ptCount val="11"/>
                <c:pt idx="0">
                  <c:v>2.98</c:v>
                </c:pt>
                <c:pt idx="1">
                  <c:v>3.94</c:v>
                </c:pt>
                <c:pt idx="2">
                  <c:v>0.11</c:v>
                </c:pt>
                <c:pt idx="3">
                  <c:v>0.06</c:v>
                </c:pt>
                <c:pt idx="4">
                  <c:v>0.2</c:v>
                </c:pt>
                <c:pt idx="5">
                  <c:v>0.68</c:v>
                </c:pt>
                <c:pt idx="6">
                  <c:v>1.19</c:v>
                </c:pt>
                <c:pt idx="7">
                  <c:v>3.58</c:v>
                </c:pt>
                <c:pt idx="8">
                  <c:v>12.68</c:v>
                </c:pt>
                <c:pt idx="9">
                  <c:v>20.99</c:v>
                </c:pt>
                <c:pt idx="10">
                  <c:v>53.59</c:v>
                </c:pt>
              </c:numCache>
            </c:numRef>
          </c:val>
        </c:ser>
        <c:ser>
          <c:idx val="1"/>
          <c:order val="1"/>
          <c:tx>
            <c:strRef>
              <c:f>Sheet1!$C$1</c:f>
              <c:strCache>
                <c:ptCount val="1"/>
                <c:pt idx="0">
                  <c:v>2016-17 (n=7,554)</c:v>
                </c:pt>
              </c:strCache>
            </c:strRef>
          </c:tx>
          <c:spPr>
            <a:solidFill>
              <a:srgbClr val="04425E"/>
            </a:solidFill>
            <a:ln>
              <a:solidFill>
                <a:srgbClr val="04425E"/>
              </a:solidFill>
            </a:ln>
          </c:spPr>
          <c:invertIfNegative val="0"/>
          <c:dLbls>
            <c:dLbl>
              <c:idx val="2"/>
              <c:tx>
                <c:rich>
                  <a:bodyPr/>
                  <a:lstStyle/>
                  <a:p>
                    <a:r>
                      <a:rPr lang="en-US"/>
                      <a:t>&lt;1%</a:t>
                    </a:r>
                  </a:p>
                </c:rich>
              </c:tx>
              <c:dLblPos val="outEnd"/>
              <c:showLegendKey val="0"/>
              <c:showVal val="1"/>
              <c:showCatName val="0"/>
              <c:showSerName val="0"/>
              <c:showPercent val="0"/>
              <c:showBubbleSize val="0"/>
            </c:dLbl>
            <c:dLbl>
              <c:idx val="3"/>
              <c:tx>
                <c:rich>
                  <a:bodyPr/>
                  <a:lstStyle/>
                  <a:p>
                    <a:r>
                      <a:rPr lang="en-US"/>
                      <a:t>&lt;1%</a:t>
                    </a:r>
                  </a:p>
                </c:rich>
              </c:tx>
              <c:dLblPos val="outEnd"/>
              <c:showLegendKey val="0"/>
              <c:showVal val="1"/>
              <c:showCatName val="0"/>
              <c:showSerName val="0"/>
              <c:showPercent val="0"/>
              <c:showBubbleSize val="0"/>
            </c:dLbl>
            <c:dLbl>
              <c:idx val="4"/>
              <c:tx>
                <c:rich>
                  <a:bodyPr/>
                  <a:lstStyle/>
                  <a:p>
                    <a:r>
                      <a:rPr lang="en-US"/>
                      <a:t>&lt;1%</a:t>
                    </a:r>
                  </a:p>
                </c:rich>
              </c:tx>
              <c:dLblPos val="outEnd"/>
              <c:showLegendKey val="0"/>
              <c:showVal val="1"/>
              <c:showCatName val="0"/>
              <c:showSerName val="0"/>
              <c:showPercent val="0"/>
              <c:showBubbleSize val="0"/>
            </c:dLbl>
            <c:dLbl>
              <c:idx val="5"/>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Sheet1!$A$2:$A$12</c:f>
              <c:strCache>
                <c:ptCount val="11"/>
                <c:pt idx="0">
                  <c:v>Complaint not yet resolved</c:v>
                </c:pt>
                <c:pt idx="1">
                  <c:v>Unknown time taken to resolve complaint</c:v>
                </c:pt>
                <c:pt idx="2">
                  <c:v>211+ days</c:v>
                </c:pt>
                <c:pt idx="3">
                  <c:v>181-210 days</c:v>
                </c:pt>
                <c:pt idx="4">
                  <c:v>151-180 days</c:v>
                </c:pt>
                <c:pt idx="5">
                  <c:v>121-150 days</c:v>
                </c:pt>
                <c:pt idx="6">
                  <c:v>91-120 days</c:v>
                </c:pt>
                <c:pt idx="7">
                  <c:v>61-90 days</c:v>
                </c:pt>
                <c:pt idx="8">
                  <c:v>31-60 days</c:v>
                </c:pt>
                <c:pt idx="9">
                  <c:v>16-30 days</c:v>
                </c:pt>
                <c:pt idx="10">
                  <c:v>0-15 days</c:v>
                </c:pt>
              </c:strCache>
            </c:strRef>
          </c:cat>
          <c:val>
            <c:numRef>
              <c:f>Sheet1!$C$2:$C$12</c:f>
              <c:numCache>
                <c:formatCode>###0.00</c:formatCode>
                <c:ptCount val="11"/>
                <c:pt idx="0">
                  <c:v>4.38</c:v>
                </c:pt>
                <c:pt idx="1">
                  <c:v>3.12</c:v>
                </c:pt>
                <c:pt idx="2">
                  <c:v>0.11</c:v>
                </c:pt>
                <c:pt idx="3">
                  <c:v>0.04</c:v>
                </c:pt>
                <c:pt idx="4">
                  <c:v>0.05</c:v>
                </c:pt>
                <c:pt idx="5">
                  <c:v>0.45</c:v>
                </c:pt>
                <c:pt idx="6">
                  <c:v>0.87</c:v>
                </c:pt>
                <c:pt idx="7">
                  <c:v>3.97</c:v>
                </c:pt>
                <c:pt idx="8">
                  <c:v>15.63</c:v>
                </c:pt>
                <c:pt idx="9">
                  <c:v>22.25</c:v>
                </c:pt>
                <c:pt idx="10">
                  <c:v>49.11</c:v>
                </c:pt>
              </c:numCache>
            </c:numRef>
          </c:val>
        </c:ser>
        <c:ser>
          <c:idx val="2"/>
          <c:order val="2"/>
          <c:tx>
            <c:strRef>
              <c:f>Sheet1!$D$1</c:f>
              <c:strCache>
                <c:ptCount val="1"/>
                <c:pt idx="0">
                  <c:v>2017-18 (n=6,838)</c:v>
                </c:pt>
              </c:strCache>
            </c:strRef>
          </c:tx>
          <c:spPr>
            <a:solidFill>
              <a:schemeClr val="bg1">
                <a:lumMod val="75000"/>
              </a:schemeClr>
            </a:solidFill>
            <a:ln>
              <a:solidFill>
                <a:schemeClr val="bg1">
                  <a:lumMod val="75000"/>
                </a:schemeClr>
              </a:solidFill>
            </a:ln>
          </c:spPr>
          <c:invertIfNegative val="0"/>
          <c:dLbls>
            <c:dLbl>
              <c:idx val="2"/>
              <c:tx>
                <c:rich>
                  <a:bodyPr/>
                  <a:lstStyle/>
                  <a:p>
                    <a:r>
                      <a:rPr lang="en-US"/>
                      <a:t>&lt;1%</a:t>
                    </a:r>
                  </a:p>
                </c:rich>
              </c:tx>
              <c:dLblPos val="outEnd"/>
              <c:showLegendKey val="0"/>
              <c:showVal val="1"/>
              <c:showCatName val="0"/>
              <c:showSerName val="0"/>
              <c:showPercent val="0"/>
              <c:showBubbleSize val="0"/>
            </c:dLbl>
            <c:dLbl>
              <c:idx val="3"/>
              <c:tx>
                <c:rich>
                  <a:bodyPr/>
                  <a:lstStyle/>
                  <a:p>
                    <a:r>
                      <a:rPr lang="en-US"/>
                      <a:t>&lt;1%</a:t>
                    </a:r>
                  </a:p>
                </c:rich>
              </c:tx>
              <c:dLblPos val="outEnd"/>
              <c:showLegendKey val="0"/>
              <c:showVal val="1"/>
              <c:showCatName val="0"/>
              <c:showSerName val="0"/>
              <c:showPercent val="0"/>
              <c:showBubbleSize val="0"/>
            </c:dLbl>
            <c:dLbl>
              <c:idx val="4"/>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Sheet1!$A$2:$A$12</c:f>
              <c:strCache>
                <c:ptCount val="11"/>
                <c:pt idx="0">
                  <c:v>Complaint not yet resolved</c:v>
                </c:pt>
                <c:pt idx="1">
                  <c:v>Unknown time taken to resolve complaint</c:v>
                </c:pt>
                <c:pt idx="2">
                  <c:v>211+ days</c:v>
                </c:pt>
                <c:pt idx="3">
                  <c:v>181-210 days</c:v>
                </c:pt>
                <c:pt idx="4">
                  <c:v>151-180 days</c:v>
                </c:pt>
                <c:pt idx="5">
                  <c:v>121-150 days</c:v>
                </c:pt>
                <c:pt idx="6">
                  <c:v>91-120 days</c:v>
                </c:pt>
                <c:pt idx="7">
                  <c:v>61-90 days</c:v>
                </c:pt>
                <c:pt idx="8">
                  <c:v>31-60 days</c:v>
                </c:pt>
                <c:pt idx="9">
                  <c:v>16-30 days</c:v>
                </c:pt>
                <c:pt idx="10">
                  <c:v>0-15 days</c:v>
                </c:pt>
              </c:strCache>
            </c:strRef>
          </c:cat>
          <c:val>
            <c:numRef>
              <c:f>Sheet1!$D$2:$D$12</c:f>
              <c:numCache>
                <c:formatCode>General</c:formatCode>
                <c:ptCount val="11"/>
                <c:pt idx="0">
                  <c:v>1.18</c:v>
                </c:pt>
                <c:pt idx="1">
                  <c:v>2.34</c:v>
                </c:pt>
                <c:pt idx="2">
                  <c:v>0.04</c:v>
                </c:pt>
                <c:pt idx="3">
                  <c:v>0.1</c:v>
                </c:pt>
                <c:pt idx="4">
                  <c:v>0.12</c:v>
                </c:pt>
                <c:pt idx="5">
                  <c:v>0.57999999999999996</c:v>
                </c:pt>
                <c:pt idx="6">
                  <c:v>0.88</c:v>
                </c:pt>
                <c:pt idx="7">
                  <c:v>4.1500000000000004</c:v>
                </c:pt>
                <c:pt idx="8">
                  <c:v>18.690000000000001</c:v>
                </c:pt>
                <c:pt idx="9">
                  <c:v>26.07</c:v>
                </c:pt>
                <c:pt idx="10">
                  <c:v>45.83</c:v>
                </c:pt>
              </c:numCache>
            </c:numRef>
          </c:val>
        </c:ser>
        <c:dLbls>
          <c:dLblPos val="outEnd"/>
          <c:showLegendKey val="0"/>
          <c:showVal val="1"/>
          <c:showCatName val="0"/>
          <c:showSerName val="0"/>
          <c:showPercent val="0"/>
          <c:showBubbleSize val="0"/>
        </c:dLbls>
        <c:gapWidth val="60"/>
        <c:overlap val="-15"/>
        <c:axId val="294131200"/>
        <c:axId val="328793088"/>
      </c:barChart>
      <c:catAx>
        <c:axId val="294131200"/>
        <c:scaling>
          <c:orientation val="minMax"/>
        </c:scaling>
        <c:delete val="0"/>
        <c:axPos val="l"/>
        <c:majorTickMark val="out"/>
        <c:minorTickMark val="none"/>
        <c:tickLblPos val="nextTo"/>
        <c:crossAx val="328793088"/>
        <c:crosses val="autoZero"/>
        <c:auto val="1"/>
        <c:lblAlgn val="ctr"/>
        <c:lblOffset val="100"/>
        <c:noMultiLvlLbl val="0"/>
      </c:catAx>
      <c:valAx>
        <c:axId val="328793088"/>
        <c:scaling>
          <c:orientation val="minMax"/>
          <c:max val="60"/>
        </c:scaling>
        <c:delete val="1"/>
        <c:axPos val="b"/>
        <c:numFmt formatCode="0\%" sourceLinked="0"/>
        <c:majorTickMark val="out"/>
        <c:minorTickMark val="none"/>
        <c:tickLblPos val="nextTo"/>
        <c:crossAx val="294131200"/>
        <c:crosses val="autoZero"/>
        <c:crossBetween val="between"/>
        <c:majorUnit val="20"/>
        <c:minorUnit val="20"/>
      </c:valAx>
    </c:plotArea>
    <c:legend>
      <c:legendPos val="r"/>
      <c:layout>
        <c:manualLayout>
          <c:xMode val="edge"/>
          <c:yMode val="edge"/>
          <c:x val="0.69257194702514024"/>
          <c:y val="0.72114959434170955"/>
          <c:w val="0.26325243859442943"/>
          <c:h val="0.1554736068014277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157109990880768"/>
          <c:y val="1.4355097205769635E-2"/>
          <c:w val="0.5482353594689553"/>
          <c:h val="0.97479920214927429"/>
        </c:manualLayout>
      </c:layout>
      <c:barChart>
        <c:barDir val="bar"/>
        <c:grouping val="clustered"/>
        <c:varyColors val="0"/>
        <c:ser>
          <c:idx val="0"/>
          <c:order val="0"/>
          <c:tx>
            <c:strRef>
              <c:f>Sheet1!$B$1</c:f>
              <c:strCache>
                <c:ptCount val="1"/>
                <c:pt idx="0">
                  <c:v>2015-16 (n=12,859)</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Decision making</c:v>
                </c:pt>
                <c:pt idx="1">
                  <c:v>Grievances/complaint handling</c:v>
                </c:pt>
                <c:pt idx="2">
                  <c:v>Carers</c:v>
                </c:pt>
                <c:pt idx="3">
                  <c:v>Misconduct</c:v>
                </c:pt>
                <c:pt idx="4">
                  <c:v>Costs</c:v>
                </c:pt>
                <c:pt idx="5">
                  <c:v>Corporate services</c:v>
                </c:pt>
                <c:pt idx="6">
                  <c:v>Rights, respect and dignity</c:v>
                </c:pt>
                <c:pt idx="7">
                  <c:v>Access</c:v>
                </c:pt>
                <c:pt idx="8">
                  <c:v>Communication</c:v>
                </c:pt>
                <c:pt idx="9">
                  <c:v>Quality of clinical care</c:v>
                </c:pt>
              </c:strCache>
            </c:strRef>
          </c:cat>
          <c:val>
            <c:numRef>
              <c:f>Sheet1!$B$2:$B$11</c:f>
              <c:numCache>
                <c:formatCode>###0</c:formatCode>
                <c:ptCount val="10"/>
                <c:pt idx="0">
                  <c:v>1</c:v>
                </c:pt>
                <c:pt idx="1">
                  <c:v>1</c:v>
                </c:pt>
                <c:pt idx="2">
                  <c:v>1</c:v>
                </c:pt>
                <c:pt idx="3">
                  <c:v>2</c:v>
                </c:pt>
                <c:pt idx="4">
                  <c:v>7</c:v>
                </c:pt>
                <c:pt idx="5">
                  <c:v>9</c:v>
                </c:pt>
                <c:pt idx="6">
                  <c:v>10</c:v>
                </c:pt>
                <c:pt idx="7">
                  <c:v>16</c:v>
                </c:pt>
                <c:pt idx="8">
                  <c:v>21</c:v>
                </c:pt>
                <c:pt idx="9">
                  <c:v>32</c:v>
                </c:pt>
              </c:numCache>
            </c:numRef>
          </c:val>
        </c:ser>
        <c:ser>
          <c:idx val="1"/>
          <c:order val="1"/>
          <c:tx>
            <c:strRef>
              <c:f>Sheet1!$C$1</c:f>
              <c:strCache>
                <c:ptCount val="1"/>
                <c:pt idx="0">
                  <c:v>2016-17 (n=12,243)</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Decision making</c:v>
                </c:pt>
                <c:pt idx="1">
                  <c:v>Grievances/complaint handling</c:v>
                </c:pt>
                <c:pt idx="2">
                  <c:v>Carers</c:v>
                </c:pt>
                <c:pt idx="3">
                  <c:v>Misconduct</c:v>
                </c:pt>
                <c:pt idx="4">
                  <c:v>Costs</c:v>
                </c:pt>
                <c:pt idx="5">
                  <c:v>Corporate services</c:v>
                </c:pt>
                <c:pt idx="6">
                  <c:v>Rights, respect and dignity</c:v>
                </c:pt>
                <c:pt idx="7">
                  <c:v>Access</c:v>
                </c:pt>
                <c:pt idx="8">
                  <c:v>Communication</c:v>
                </c:pt>
                <c:pt idx="9">
                  <c:v>Quality of clinical care</c:v>
                </c:pt>
              </c:strCache>
            </c:strRef>
          </c:cat>
          <c:val>
            <c:numRef>
              <c:f>Sheet1!$C$2:$C$11</c:f>
              <c:numCache>
                <c:formatCode>###0</c:formatCode>
                <c:ptCount val="10"/>
                <c:pt idx="0">
                  <c:v>1</c:v>
                </c:pt>
                <c:pt idx="1">
                  <c:v>1</c:v>
                </c:pt>
                <c:pt idx="2">
                  <c:v>1</c:v>
                </c:pt>
                <c:pt idx="3">
                  <c:v>2</c:v>
                </c:pt>
                <c:pt idx="4">
                  <c:v>6</c:v>
                </c:pt>
                <c:pt idx="5">
                  <c:v>8</c:v>
                </c:pt>
                <c:pt idx="6">
                  <c:v>10</c:v>
                </c:pt>
                <c:pt idx="7">
                  <c:v>16</c:v>
                </c:pt>
                <c:pt idx="8">
                  <c:v>21</c:v>
                </c:pt>
                <c:pt idx="9">
                  <c:v>35</c:v>
                </c:pt>
              </c:numCache>
            </c:numRef>
          </c:val>
        </c:ser>
        <c:ser>
          <c:idx val="2"/>
          <c:order val="2"/>
          <c:tx>
            <c:strRef>
              <c:f>Sheet1!$D$1</c:f>
              <c:strCache>
                <c:ptCount val="1"/>
                <c:pt idx="0">
                  <c:v>2017-18 (n=11,448)</c:v>
                </c:pt>
              </c:strCache>
            </c:strRef>
          </c:tx>
          <c:spPr>
            <a:solidFill>
              <a:schemeClr val="bg1">
                <a:lumMod val="75000"/>
              </a:schemeClr>
            </a:solidFill>
            <a:ln>
              <a:solidFill>
                <a:schemeClr val="bg1">
                  <a:lumMod val="75000"/>
                </a:schemeClr>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Decision making</c:v>
                </c:pt>
                <c:pt idx="1">
                  <c:v>Grievances/complaint handling</c:v>
                </c:pt>
                <c:pt idx="2">
                  <c:v>Carers</c:v>
                </c:pt>
                <c:pt idx="3">
                  <c:v>Misconduct</c:v>
                </c:pt>
                <c:pt idx="4">
                  <c:v>Costs</c:v>
                </c:pt>
                <c:pt idx="5">
                  <c:v>Corporate services</c:v>
                </c:pt>
                <c:pt idx="6">
                  <c:v>Rights, respect and dignity</c:v>
                </c:pt>
                <c:pt idx="7">
                  <c:v>Access</c:v>
                </c:pt>
                <c:pt idx="8">
                  <c:v>Communication</c:v>
                </c:pt>
                <c:pt idx="9">
                  <c:v>Quality of clinical care</c:v>
                </c:pt>
              </c:strCache>
            </c:strRef>
          </c:cat>
          <c:val>
            <c:numRef>
              <c:f>Sheet1!$D$2:$D$11</c:f>
              <c:numCache>
                <c:formatCode>General</c:formatCode>
                <c:ptCount val="10"/>
                <c:pt idx="0">
                  <c:v>1</c:v>
                </c:pt>
                <c:pt idx="1">
                  <c:v>1</c:v>
                </c:pt>
                <c:pt idx="2">
                  <c:v>1</c:v>
                </c:pt>
                <c:pt idx="3">
                  <c:v>3</c:v>
                </c:pt>
                <c:pt idx="4">
                  <c:v>6</c:v>
                </c:pt>
                <c:pt idx="5">
                  <c:v>7</c:v>
                </c:pt>
                <c:pt idx="6">
                  <c:v>10</c:v>
                </c:pt>
                <c:pt idx="7">
                  <c:v>16</c:v>
                </c:pt>
                <c:pt idx="8">
                  <c:v>21</c:v>
                </c:pt>
                <c:pt idx="9">
                  <c:v>34</c:v>
                </c:pt>
              </c:numCache>
            </c:numRef>
          </c:val>
        </c:ser>
        <c:dLbls>
          <c:dLblPos val="outEnd"/>
          <c:showLegendKey val="0"/>
          <c:showVal val="1"/>
          <c:showCatName val="0"/>
          <c:showSerName val="0"/>
          <c:showPercent val="0"/>
          <c:showBubbleSize val="0"/>
        </c:dLbls>
        <c:gapWidth val="60"/>
        <c:overlap val="-15"/>
        <c:axId val="46843776"/>
        <c:axId val="46845312"/>
      </c:barChart>
      <c:catAx>
        <c:axId val="46843776"/>
        <c:scaling>
          <c:orientation val="minMax"/>
        </c:scaling>
        <c:delete val="0"/>
        <c:axPos val="l"/>
        <c:majorTickMark val="out"/>
        <c:minorTickMark val="none"/>
        <c:tickLblPos val="nextTo"/>
        <c:crossAx val="46845312"/>
        <c:crosses val="autoZero"/>
        <c:auto val="1"/>
        <c:lblAlgn val="ctr"/>
        <c:lblOffset val="100"/>
        <c:noMultiLvlLbl val="0"/>
      </c:catAx>
      <c:valAx>
        <c:axId val="46845312"/>
        <c:scaling>
          <c:orientation val="minMax"/>
          <c:max val="40"/>
        </c:scaling>
        <c:delete val="1"/>
        <c:axPos val="b"/>
        <c:numFmt formatCode="0\%" sourceLinked="0"/>
        <c:majorTickMark val="out"/>
        <c:minorTickMark val="none"/>
        <c:tickLblPos val="nextTo"/>
        <c:crossAx val="46843776"/>
        <c:crosses val="autoZero"/>
        <c:crossBetween val="between"/>
        <c:majorUnit val="10"/>
        <c:minorUnit val="2"/>
      </c:valAx>
    </c:plotArea>
    <c:legend>
      <c:legendPos val="r"/>
      <c:layout>
        <c:manualLayout>
          <c:xMode val="edge"/>
          <c:yMode val="edge"/>
          <c:x val="0.69257194702514024"/>
          <c:y val="0.72114959434170955"/>
          <c:w val="0.26276221058959809"/>
          <c:h val="0.15100202076510347"/>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797323268475741"/>
          <c:y val="1.527996500437445E-2"/>
          <c:w val="0.4518331489555541"/>
          <c:h val="0.96890292359288421"/>
        </c:manualLayout>
      </c:layout>
      <c:barChart>
        <c:barDir val="bar"/>
        <c:grouping val="clustered"/>
        <c:varyColors val="0"/>
        <c:ser>
          <c:idx val="0"/>
          <c:order val="0"/>
          <c:tx>
            <c:strRef>
              <c:f>Sheet1!$B$1</c:f>
              <c:strCache>
                <c:ptCount val="1"/>
                <c:pt idx="0">
                  <c:v>2015-16 (n=14,421)</c:v>
                </c:pt>
              </c:strCache>
            </c:strRef>
          </c:tx>
          <c:spPr>
            <a:solidFill>
              <a:srgbClr val="2487C4"/>
            </a:solidFill>
            <a:ln>
              <a:solidFill>
                <a:srgbClr val="2487C4"/>
              </a:solidFill>
            </a:ln>
          </c:spPr>
          <c:invertIfNegative val="0"/>
          <c:dLbls>
            <c:dLbl>
              <c:idx val="4"/>
              <c:tx>
                <c:rich>
                  <a:bodyPr/>
                  <a:lstStyle/>
                  <a:p>
                    <a:r>
                      <a:rPr lang="en-US"/>
                      <a:t>&lt;1%</a:t>
                    </a:r>
                  </a:p>
                </c:rich>
              </c:tx>
              <c:dLblPos val="outEnd"/>
              <c:showLegendKey val="0"/>
              <c:showVal val="1"/>
              <c:showCatName val="0"/>
              <c:showSerName val="0"/>
              <c:showPercent val="0"/>
              <c:showBubbleSize val="0"/>
            </c:dLbl>
            <c:dLbl>
              <c:idx val="5"/>
              <c:tx>
                <c:rich>
                  <a:bodyPr/>
                  <a:lstStyle/>
                  <a:p>
                    <a:r>
                      <a:rPr lang="en-US"/>
                      <a:t>&lt;1%</a:t>
                    </a:r>
                  </a:p>
                </c:rich>
              </c:tx>
              <c:dLblPos val="outEnd"/>
              <c:showLegendKey val="0"/>
              <c:showVal val="1"/>
              <c:showCatName val="0"/>
              <c:showSerName val="0"/>
              <c:showPercent val="0"/>
              <c:showBubbleSize val="0"/>
            </c:dLbl>
            <c:dLbl>
              <c:idx val="6"/>
              <c:tx>
                <c:rich>
                  <a:bodyPr/>
                  <a:lstStyle/>
                  <a:p>
                    <a:r>
                      <a:rPr lang="en-US"/>
                      <a:t>&lt;1%</a:t>
                    </a:r>
                  </a:p>
                </c:rich>
              </c:tx>
              <c:dLblPos val="outEnd"/>
              <c:showLegendKey val="0"/>
              <c:showVal val="1"/>
              <c:showCatName val="0"/>
              <c:showSerName val="0"/>
              <c:showPercent val="0"/>
              <c:showBubbleSize val="0"/>
            </c:dLbl>
            <c:dLbl>
              <c:idx val="7"/>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Compensation paid</c:v>
                </c:pt>
                <c:pt idx="5">
                  <c:v>Change in policy effected</c:v>
                </c:pt>
                <c:pt idx="6">
                  <c:v>Complaint withdrawn by individual</c:v>
                </c:pt>
                <c:pt idx="7">
                  <c:v>Agreement not reached</c:v>
                </c:pt>
                <c:pt idx="8">
                  <c:v>Cost refunded/reduced</c:v>
                </c:pt>
                <c:pt idx="9">
                  <c:v>Service provided</c:v>
                </c:pt>
                <c:pt idx="10">
                  <c:v>Change in practice/procedure effected</c:v>
                </c:pt>
                <c:pt idx="11">
                  <c:v>Counselling/performance support/development provided to staff member(s)/contractor(s)</c:v>
                </c:pt>
                <c:pt idx="12">
                  <c:v>Concern registered</c:v>
                </c:pt>
                <c:pt idx="13">
                  <c:v>Apology provided</c:v>
                </c:pt>
                <c:pt idx="14">
                  <c:v>Explanation provided</c:v>
                </c:pt>
              </c:strCache>
            </c:strRef>
          </c:cat>
          <c:val>
            <c:numRef>
              <c:f>Sheet1!$B$2:$B$16</c:f>
              <c:numCache>
                <c:formatCode>###0</c:formatCode>
                <c:ptCount val="15"/>
                <c:pt idx="0">
                  <c:v>0</c:v>
                </c:pt>
                <c:pt idx="1">
                  <c:v>6</c:v>
                </c:pt>
                <c:pt idx="2">
                  <c:v>2</c:v>
                </c:pt>
                <c:pt idx="3">
                  <c:v>5</c:v>
                </c:pt>
                <c:pt idx="4">
                  <c:v>0.2</c:v>
                </c:pt>
                <c:pt idx="5">
                  <c:v>0.1</c:v>
                </c:pt>
                <c:pt idx="6">
                  <c:v>0.4</c:v>
                </c:pt>
                <c:pt idx="7">
                  <c:v>0.2</c:v>
                </c:pt>
                <c:pt idx="8">
                  <c:v>2</c:v>
                </c:pt>
                <c:pt idx="9">
                  <c:v>2</c:v>
                </c:pt>
                <c:pt idx="10">
                  <c:v>2</c:v>
                </c:pt>
                <c:pt idx="11">
                  <c:v>4</c:v>
                </c:pt>
                <c:pt idx="12">
                  <c:v>18</c:v>
                </c:pt>
                <c:pt idx="13">
                  <c:v>25</c:v>
                </c:pt>
                <c:pt idx="14">
                  <c:v>33</c:v>
                </c:pt>
              </c:numCache>
            </c:numRef>
          </c:val>
        </c:ser>
        <c:ser>
          <c:idx val="1"/>
          <c:order val="1"/>
          <c:tx>
            <c:strRef>
              <c:f>Sheet1!$C$1</c:f>
              <c:strCache>
                <c:ptCount val="1"/>
                <c:pt idx="0">
                  <c:v>2016-17 (n=13,473)</c:v>
                </c:pt>
              </c:strCache>
            </c:strRef>
          </c:tx>
          <c:spPr>
            <a:solidFill>
              <a:srgbClr val="04425E"/>
            </a:solidFill>
            <a:ln>
              <a:solidFill>
                <a:srgbClr val="04425E"/>
              </a:solidFill>
            </a:ln>
          </c:spPr>
          <c:invertIfNegative val="0"/>
          <c:dLbls>
            <c:dLbl>
              <c:idx val="1"/>
              <c:tx>
                <c:rich>
                  <a:bodyPr/>
                  <a:lstStyle/>
                  <a:p>
                    <a:r>
                      <a:rPr lang="en-US"/>
                      <a:t>&lt;1%</a:t>
                    </a:r>
                  </a:p>
                </c:rich>
              </c:tx>
              <c:dLblPos val="outEnd"/>
              <c:showLegendKey val="0"/>
              <c:showVal val="1"/>
              <c:showCatName val="0"/>
              <c:showSerName val="0"/>
              <c:showPercent val="0"/>
              <c:showBubbleSize val="0"/>
            </c:dLbl>
            <c:dLbl>
              <c:idx val="4"/>
              <c:tx>
                <c:rich>
                  <a:bodyPr/>
                  <a:lstStyle/>
                  <a:p>
                    <a:r>
                      <a:rPr lang="en-US"/>
                      <a:t>&lt;1%</a:t>
                    </a:r>
                  </a:p>
                </c:rich>
              </c:tx>
              <c:dLblPos val="outEnd"/>
              <c:showLegendKey val="0"/>
              <c:showVal val="1"/>
              <c:showCatName val="0"/>
              <c:showSerName val="0"/>
              <c:showPercent val="0"/>
              <c:showBubbleSize val="0"/>
            </c:dLbl>
            <c:dLbl>
              <c:idx val="5"/>
              <c:tx>
                <c:rich>
                  <a:bodyPr/>
                  <a:lstStyle/>
                  <a:p>
                    <a:r>
                      <a:rPr lang="en-US"/>
                      <a:t>&lt;1%</a:t>
                    </a:r>
                  </a:p>
                </c:rich>
              </c:tx>
              <c:dLblPos val="outEnd"/>
              <c:showLegendKey val="0"/>
              <c:showVal val="1"/>
              <c:showCatName val="0"/>
              <c:showSerName val="0"/>
              <c:showPercent val="0"/>
              <c:showBubbleSize val="0"/>
            </c:dLbl>
            <c:dLbl>
              <c:idx val="6"/>
              <c:tx>
                <c:rich>
                  <a:bodyPr/>
                  <a:lstStyle/>
                  <a:p>
                    <a:r>
                      <a:rPr lang="en-US"/>
                      <a:t>&lt;1%</a:t>
                    </a:r>
                  </a:p>
                </c:rich>
              </c:tx>
              <c:dLblPos val="outEnd"/>
              <c:showLegendKey val="0"/>
              <c:showVal val="1"/>
              <c:showCatName val="0"/>
              <c:showSerName val="0"/>
              <c:showPercent val="0"/>
              <c:showBubbleSize val="0"/>
            </c:dLbl>
            <c:dLbl>
              <c:idx val="7"/>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Compensation paid</c:v>
                </c:pt>
                <c:pt idx="5">
                  <c:v>Change in policy effected</c:v>
                </c:pt>
                <c:pt idx="6">
                  <c:v>Complaint withdrawn by individual</c:v>
                </c:pt>
                <c:pt idx="7">
                  <c:v>Agreement not reached</c:v>
                </c:pt>
                <c:pt idx="8">
                  <c:v>Cost refunded/reduced</c:v>
                </c:pt>
                <c:pt idx="9">
                  <c:v>Service provided</c:v>
                </c:pt>
                <c:pt idx="10">
                  <c:v>Change in practice/procedure effected</c:v>
                </c:pt>
                <c:pt idx="11">
                  <c:v>Counselling/performance support/development provided to staff member(s)/contractor(s)</c:v>
                </c:pt>
                <c:pt idx="12">
                  <c:v>Concern registered</c:v>
                </c:pt>
                <c:pt idx="13">
                  <c:v>Apology provided</c:v>
                </c:pt>
                <c:pt idx="14">
                  <c:v>Explanation provided</c:v>
                </c:pt>
              </c:strCache>
            </c:strRef>
          </c:cat>
          <c:val>
            <c:numRef>
              <c:f>Sheet1!$C$2:$C$16</c:f>
              <c:numCache>
                <c:formatCode>###0</c:formatCode>
                <c:ptCount val="15"/>
                <c:pt idx="0">
                  <c:v>4</c:v>
                </c:pt>
                <c:pt idx="1">
                  <c:v>0.4</c:v>
                </c:pt>
                <c:pt idx="2">
                  <c:v>2</c:v>
                </c:pt>
                <c:pt idx="3">
                  <c:v>5</c:v>
                </c:pt>
                <c:pt idx="4">
                  <c:v>0.23</c:v>
                </c:pt>
                <c:pt idx="5">
                  <c:v>0.1</c:v>
                </c:pt>
                <c:pt idx="6">
                  <c:v>0.4</c:v>
                </c:pt>
                <c:pt idx="7">
                  <c:v>0.04</c:v>
                </c:pt>
                <c:pt idx="8">
                  <c:v>1</c:v>
                </c:pt>
                <c:pt idx="9">
                  <c:v>2</c:v>
                </c:pt>
                <c:pt idx="10">
                  <c:v>2</c:v>
                </c:pt>
                <c:pt idx="11">
                  <c:v>4</c:v>
                </c:pt>
                <c:pt idx="12">
                  <c:v>20</c:v>
                </c:pt>
                <c:pt idx="13">
                  <c:v>27</c:v>
                </c:pt>
                <c:pt idx="14">
                  <c:v>32</c:v>
                </c:pt>
              </c:numCache>
            </c:numRef>
          </c:val>
        </c:ser>
        <c:ser>
          <c:idx val="2"/>
          <c:order val="2"/>
          <c:tx>
            <c:strRef>
              <c:f>Sheet1!$D$1</c:f>
              <c:strCache>
                <c:ptCount val="1"/>
                <c:pt idx="0">
                  <c:v>2017-18 (n=10,152)</c:v>
                </c:pt>
              </c:strCache>
            </c:strRef>
          </c:tx>
          <c:spPr>
            <a:solidFill>
              <a:schemeClr val="bg1">
                <a:lumMod val="75000"/>
              </a:schemeClr>
            </a:solidFill>
            <a:ln>
              <a:solidFill>
                <a:schemeClr val="bg1">
                  <a:lumMod val="75000"/>
                </a:schemeClr>
              </a:solidFill>
            </a:ln>
          </c:spPr>
          <c:invertIfNegative val="0"/>
          <c:dLbls>
            <c:dLbl>
              <c:idx val="4"/>
              <c:tx>
                <c:rich>
                  <a:bodyPr/>
                  <a:lstStyle/>
                  <a:p>
                    <a:r>
                      <a:rPr lang="en-US"/>
                      <a:t>&lt;1%</a:t>
                    </a:r>
                  </a:p>
                </c:rich>
              </c:tx>
              <c:dLblPos val="outEnd"/>
              <c:showLegendKey val="0"/>
              <c:showVal val="1"/>
              <c:showCatName val="0"/>
              <c:showSerName val="0"/>
              <c:showPercent val="0"/>
              <c:showBubbleSize val="0"/>
            </c:dLbl>
            <c:dLbl>
              <c:idx val="5"/>
              <c:tx>
                <c:rich>
                  <a:bodyPr/>
                  <a:lstStyle/>
                  <a:p>
                    <a:r>
                      <a:rPr lang="en-US"/>
                      <a:t>&lt;1%</a:t>
                    </a:r>
                  </a:p>
                </c:rich>
              </c:tx>
              <c:dLblPos val="outEnd"/>
              <c:showLegendKey val="0"/>
              <c:showVal val="1"/>
              <c:showCatName val="0"/>
              <c:showSerName val="0"/>
              <c:showPercent val="0"/>
              <c:showBubbleSize val="0"/>
            </c:dLbl>
            <c:dLbl>
              <c:idx val="6"/>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Compensation paid</c:v>
                </c:pt>
                <c:pt idx="5">
                  <c:v>Change in policy effected</c:v>
                </c:pt>
                <c:pt idx="6">
                  <c:v>Complaint withdrawn by individual</c:v>
                </c:pt>
                <c:pt idx="7">
                  <c:v>Agreement not reached</c:v>
                </c:pt>
                <c:pt idx="8">
                  <c:v>Cost refunded/reduced</c:v>
                </c:pt>
                <c:pt idx="9">
                  <c:v>Service provided</c:v>
                </c:pt>
                <c:pt idx="10">
                  <c:v>Change in practice/procedure effected</c:v>
                </c:pt>
                <c:pt idx="11">
                  <c:v>Counselling/performance support/development provided to staff member(s)/contractor(s)</c:v>
                </c:pt>
                <c:pt idx="12">
                  <c:v>Concern registered</c:v>
                </c:pt>
                <c:pt idx="13">
                  <c:v>Apology provided</c:v>
                </c:pt>
                <c:pt idx="14">
                  <c:v>Explanation provided</c:v>
                </c:pt>
              </c:strCache>
            </c:strRef>
          </c:cat>
          <c:val>
            <c:numRef>
              <c:f>Sheet1!$D$2:$D$16</c:f>
              <c:numCache>
                <c:formatCode>0</c:formatCode>
                <c:ptCount val="15"/>
                <c:pt idx="0">
                  <c:v>3.4869976359338062</c:v>
                </c:pt>
                <c:pt idx="1">
                  <c:v>4.3439716312056742</c:v>
                </c:pt>
                <c:pt idx="2">
                  <c:v>0.67966903073286056</c:v>
                </c:pt>
                <c:pt idx="3">
                  <c:v>3.959810874704492</c:v>
                </c:pt>
                <c:pt idx="4">
                  <c:v>0.41371158392434987</c:v>
                </c:pt>
                <c:pt idx="5">
                  <c:v>0.15760441292356187</c:v>
                </c:pt>
                <c:pt idx="6">
                  <c:v>0.3546099290780142</c:v>
                </c:pt>
                <c:pt idx="7">
                  <c:v>0.51221434200157601</c:v>
                </c:pt>
                <c:pt idx="8">
                  <c:v>1.773049645390071</c:v>
                </c:pt>
                <c:pt idx="9">
                  <c:v>1.664696611505122</c:v>
                </c:pt>
                <c:pt idx="10">
                  <c:v>1.773049645390071</c:v>
                </c:pt>
                <c:pt idx="11">
                  <c:v>4.580378250591016</c:v>
                </c:pt>
                <c:pt idx="12">
                  <c:v>19.572498029944839</c:v>
                </c:pt>
                <c:pt idx="13">
                  <c:v>26.339637509850277</c:v>
                </c:pt>
                <c:pt idx="14">
                  <c:v>30.388100866824271</c:v>
                </c:pt>
              </c:numCache>
            </c:numRef>
          </c:val>
        </c:ser>
        <c:dLbls>
          <c:dLblPos val="outEnd"/>
          <c:showLegendKey val="0"/>
          <c:showVal val="1"/>
          <c:showCatName val="0"/>
          <c:showSerName val="0"/>
          <c:showPercent val="0"/>
          <c:showBubbleSize val="0"/>
        </c:dLbls>
        <c:gapWidth val="60"/>
        <c:overlap val="-15"/>
        <c:axId val="48220032"/>
        <c:axId val="48221568"/>
      </c:barChart>
      <c:catAx>
        <c:axId val="48220032"/>
        <c:scaling>
          <c:orientation val="minMax"/>
        </c:scaling>
        <c:delete val="0"/>
        <c:axPos val="l"/>
        <c:majorTickMark val="out"/>
        <c:minorTickMark val="none"/>
        <c:tickLblPos val="nextTo"/>
        <c:crossAx val="48221568"/>
        <c:crosses val="autoZero"/>
        <c:auto val="1"/>
        <c:lblAlgn val="ctr"/>
        <c:lblOffset val="100"/>
        <c:noMultiLvlLbl val="0"/>
      </c:catAx>
      <c:valAx>
        <c:axId val="48221568"/>
        <c:scaling>
          <c:orientation val="minMax"/>
          <c:max val="40"/>
        </c:scaling>
        <c:delete val="1"/>
        <c:axPos val="b"/>
        <c:numFmt formatCode="0\%" sourceLinked="0"/>
        <c:majorTickMark val="out"/>
        <c:minorTickMark val="none"/>
        <c:tickLblPos val="nextTo"/>
        <c:crossAx val="48220032"/>
        <c:crosses val="autoZero"/>
        <c:crossBetween val="between"/>
        <c:majorUnit val="10"/>
        <c:minorUnit val="2"/>
      </c:valAx>
    </c:plotArea>
    <c:legend>
      <c:legendPos val="r"/>
      <c:layout>
        <c:manualLayout>
          <c:xMode val="edge"/>
          <c:yMode val="edge"/>
          <c:x val="0.71741697577059071"/>
          <c:y val="0.77581941181808101"/>
          <c:w val="0.22361855322759774"/>
          <c:h val="0.1090302130764006"/>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681653746770028"/>
          <c:y val="1.5396209664968349E-2"/>
          <c:w val="0.66193037498219698"/>
          <c:h val="0.97287440172919559"/>
        </c:manualLayout>
      </c:layout>
      <c:barChart>
        <c:barDir val="bar"/>
        <c:grouping val="clustered"/>
        <c:varyColors val="0"/>
        <c:ser>
          <c:idx val="0"/>
          <c:order val="0"/>
          <c:tx>
            <c:strRef>
              <c:f>Sheet1!$B$1</c:f>
              <c:strCache>
                <c:ptCount val="1"/>
                <c:pt idx="0">
                  <c:v>Not-for-profit (n=750)</c:v>
                </c:pt>
              </c:strCache>
            </c:strRef>
          </c:tx>
          <c:spPr>
            <a:solidFill>
              <a:srgbClr val="F7941E"/>
            </a:solidFill>
            <a:ln>
              <a:solidFill>
                <a:srgbClr val="F7941E"/>
              </a:solidFill>
            </a:ln>
          </c:spPr>
          <c:invertIfNegative val="0"/>
          <c:dLbls>
            <c:dLbl>
              <c:idx val="2"/>
              <c:tx>
                <c:rich>
                  <a:bodyPr/>
                  <a:lstStyle/>
                  <a:p>
                    <a:r>
                      <a:rPr lang="en-US"/>
                      <a: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Sheet1!$A$2:$A$11</c:f>
              <c:strCache>
                <c:ptCount val="10"/>
                <c:pt idx="0">
                  <c:v>Carers</c:v>
                </c:pt>
                <c:pt idx="1">
                  <c:v>Grievances/complaint handling</c:v>
                </c:pt>
                <c:pt idx="2">
                  <c:v>Decision making</c:v>
                </c:pt>
                <c:pt idx="3">
                  <c:v>Misconduct</c:v>
                </c:pt>
                <c:pt idx="4">
                  <c:v>Costs</c:v>
                </c:pt>
                <c:pt idx="5">
                  <c:v>Corporate services</c:v>
                </c:pt>
                <c:pt idx="6">
                  <c:v>Rights, respect and dignity</c:v>
                </c:pt>
                <c:pt idx="7">
                  <c:v>Access</c:v>
                </c:pt>
                <c:pt idx="8">
                  <c:v>Communication</c:v>
                </c:pt>
                <c:pt idx="9">
                  <c:v>Quality of clinical care</c:v>
                </c:pt>
              </c:strCache>
            </c:strRef>
          </c:cat>
          <c:val>
            <c:numRef>
              <c:f>Sheet1!$B$2:$B$11</c:f>
              <c:numCache>
                <c:formatCode>###0</c:formatCode>
                <c:ptCount val="10"/>
                <c:pt idx="0">
                  <c:v>1</c:v>
                </c:pt>
                <c:pt idx="1">
                  <c:v>1</c:v>
                </c:pt>
                <c:pt idx="2">
                  <c:v>1</c:v>
                </c:pt>
                <c:pt idx="3">
                  <c:v>3</c:v>
                </c:pt>
                <c:pt idx="4">
                  <c:v>7</c:v>
                </c:pt>
                <c:pt idx="5">
                  <c:v>2</c:v>
                </c:pt>
                <c:pt idx="6">
                  <c:v>13</c:v>
                </c:pt>
                <c:pt idx="7">
                  <c:v>11</c:v>
                </c:pt>
                <c:pt idx="8">
                  <c:v>17</c:v>
                </c:pt>
                <c:pt idx="9">
                  <c:v>45</c:v>
                </c:pt>
              </c:numCache>
            </c:numRef>
          </c:val>
        </c:ser>
        <c:ser>
          <c:idx val="1"/>
          <c:order val="1"/>
          <c:tx>
            <c:strRef>
              <c:f>Sheet1!$C$1</c:f>
              <c:strCache>
                <c:ptCount val="1"/>
                <c:pt idx="0">
                  <c:v>Private (n=2,843)</c:v>
                </c:pt>
              </c:strCache>
            </c:strRef>
          </c:tx>
          <c:spPr>
            <a:solidFill>
              <a:srgbClr val="2487C4"/>
            </a:solidFill>
            <a:ln>
              <a:solidFill>
                <a:srgbClr val="2487C4"/>
              </a:solidFill>
            </a:ln>
          </c:spPr>
          <c:invertIfNegative val="0"/>
          <c:dLbls>
            <c:dLbl>
              <c:idx val="0"/>
              <c:tx>
                <c:rich>
                  <a:bodyPr/>
                  <a:lstStyle/>
                  <a:p>
                    <a:r>
                      <a:rPr lang="en-US"/>
                      <a:t>&lt;1%</a:t>
                    </a:r>
                  </a:p>
                </c:rich>
              </c:tx>
              <c:dLblPos val="outEnd"/>
              <c:showLegendKey val="0"/>
              <c:showVal val="1"/>
              <c:showCatName val="0"/>
              <c:showSerName val="0"/>
              <c:showPercent val="0"/>
              <c:showBubbleSize val="0"/>
            </c:dLbl>
            <c:dLbl>
              <c:idx val="1"/>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Sheet1!$A$2:$A$11</c:f>
              <c:strCache>
                <c:ptCount val="10"/>
                <c:pt idx="0">
                  <c:v>Carers</c:v>
                </c:pt>
                <c:pt idx="1">
                  <c:v>Grievances/complaint handling</c:v>
                </c:pt>
                <c:pt idx="2">
                  <c:v>Decision making</c:v>
                </c:pt>
                <c:pt idx="3">
                  <c:v>Misconduct</c:v>
                </c:pt>
                <c:pt idx="4">
                  <c:v>Costs</c:v>
                </c:pt>
                <c:pt idx="5">
                  <c:v>Corporate services</c:v>
                </c:pt>
                <c:pt idx="6">
                  <c:v>Rights, respect and dignity</c:v>
                </c:pt>
                <c:pt idx="7">
                  <c:v>Access</c:v>
                </c:pt>
                <c:pt idx="8">
                  <c:v>Communication</c:v>
                </c:pt>
                <c:pt idx="9">
                  <c:v>Quality of clinical care</c:v>
                </c:pt>
              </c:strCache>
            </c:strRef>
          </c:cat>
          <c:val>
            <c:numRef>
              <c:f>Sheet1!$C$2:$C$11</c:f>
              <c:numCache>
                <c:formatCode>###0</c:formatCode>
                <c:ptCount val="10"/>
                <c:pt idx="0">
                  <c:v>0.2</c:v>
                </c:pt>
                <c:pt idx="1">
                  <c:v>0.6</c:v>
                </c:pt>
                <c:pt idx="2">
                  <c:v>0.9</c:v>
                </c:pt>
                <c:pt idx="3">
                  <c:v>0.7</c:v>
                </c:pt>
                <c:pt idx="4">
                  <c:v>16.399999999999999</c:v>
                </c:pt>
                <c:pt idx="5">
                  <c:v>11.2</c:v>
                </c:pt>
                <c:pt idx="6">
                  <c:v>11</c:v>
                </c:pt>
                <c:pt idx="7">
                  <c:v>11.7</c:v>
                </c:pt>
                <c:pt idx="8">
                  <c:v>19.8</c:v>
                </c:pt>
                <c:pt idx="9">
                  <c:v>27.5</c:v>
                </c:pt>
              </c:numCache>
            </c:numRef>
          </c:val>
        </c:ser>
        <c:ser>
          <c:idx val="2"/>
          <c:order val="2"/>
          <c:tx>
            <c:strRef>
              <c:f>Sheet1!$D$1</c:f>
              <c:strCache>
                <c:ptCount val="1"/>
                <c:pt idx="0">
                  <c:v>Public (n=7,855)</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Carers</c:v>
                </c:pt>
                <c:pt idx="1">
                  <c:v>Grievances/complaint handling</c:v>
                </c:pt>
                <c:pt idx="2">
                  <c:v>Decision making</c:v>
                </c:pt>
                <c:pt idx="3">
                  <c:v>Misconduct</c:v>
                </c:pt>
                <c:pt idx="4">
                  <c:v>Costs</c:v>
                </c:pt>
                <c:pt idx="5">
                  <c:v>Corporate services</c:v>
                </c:pt>
                <c:pt idx="6">
                  <c:v>Rights, respect and dignity</c:v>
                </c:pt>
                <c:pt idx="7">
                  <c:v>Access</c:v>
                </c:pt>
                <c:pt idx="8">
                  <c:v>Communication</c:v>
                </c:pt>
                <c:pt idx="9">
                  <c:v>Quality of clinical care</c:v>
                </c:pt>
              </c:strCache>
            </c:strRef>
          </c:cat>
          <c:val>
            <c:numRef>
              <c:f>Sheet1!$D$2:$D$11</c:f>
              <c:numCache>
                <c:formatCode>###0</c:formatCode>
                <c:ptCount val="10"/>
                <c:pt idx="0">
                  <c:v>1</c:v>
                </c:pt>
                <c:pt idx="1">
                  <c:v>1</c:v>
                </c:pt>
                <c:pt idx="2">
                  <c:v>1</c:v>
                </c:pt>
                <c:pt idx="3">
                  <c:v>3</c:v>
                </c:pt>
                <c:pt idx="4">
                  <c:v>3</c:v>
                </c:pt>
                <c:pt idx="5">
                  <c:v>6</c:v>
                </c:pt>
                <c:pt idx="6">
                  <c:v>10</c:v>
                </c:pt>
                <c:pt idx="7">
                  <c:v>18</c:v>
                </c:pt>
                <c:pt idx="8">
                  <c:v>22</c:v>
                </c:pt>
                <c:pt idx="9">
                  <c:v>36</c:v>
                </c:pt>
              </c:numCache>
            </c:numRef>
          </c:val>
        </c:ser>
        <c:dLbls>
          <c:dLblPos val="outEnd"/>
          <c:showLegendKey val="0"/>
          <c:showVal val="1"/>
          <c:showCatName val="0"/>
          <c:showSerName val="0"/>
          <c:showPercent val="0"/>
          <c:showBubbleSize val="0"/>
        </c:dLbls>
        <c:gapWidth val="70"/>
        <c:overlap val="-15"/>
        <c:axId val="48633344"/>
        <c:axId val="48634880"/>
      </c:barChart>
      <c:catAx>
        <c:axId val="48633344"/>
        <c:scaling>
          <c:orientation val="minMax"/>
        </c:scaling>
        <c:delete val="0"/>
        <c:axPos val="l"/>
        <c:majorTickMark val="out"/>
        <c:minorTickMark val="none"/>
        <c:tickLblPos val="nextTo"/>
        <c:crossAx val="48634880"/>
        <c:crosses val="autoZero"/>
        <c:auto val="1"/>
        <c:lblAlgn val="ctr"/>
        <c:lblOffset val="100"/>
        <c:noMultiLvlLbl val="0"/>
      </c:catAx>
      <c:valAx>
        <c:axId val="48634880"/>
        <c:scaling>
          <c:orientation val="minMax"/>
          <c:max val="50"/>
        </c:scaling>
        <c:delete val="1"/>
        <c:axPos val="b"/>
        <c:numFmt formatCode="0\%" sourceLinked="0"/>
        <c:majorTickMark val="out"/>
        <c:minorTickMark val="none"/>
        <c:tickLblPos val="nextTo"/>
        <c:crossAx val="48633344"/>
        <c:crosses val="autoZero"/>
        <c:crossBetween val="between"/>
        <c:majorUnit val="10"/>
        <c:minorUnit val="2"/>
      </c:valAx>
    </c:plotArea>
    <c:legend>
      <c:legendPos val="r"/>
      <c:layout>
        <c:manualLayout>
          <c:xMode val="edge"/>
          <c:yMode val="edge"/>
          <c:x val="0.7047326360324363"/>
          <c:y val="0.83432626987802994"/>
          <c:w val="0.27287930426607121"/>
          <c:h val="0.12546491431218157"/>
        </c:manualLayout>
      </c:layout>
      <c:overlay val="1"/>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157109990880768"/>
          <c:y val="9.9745391107548664E-3"/>
          <c:w val="0.56441557333226233"/>
          <c:h val="0.97862951262828668"/>
        </c:manualLayout>
      </c:layout>
      <c:barChart>
        <c:barDir val="bar"/>
        <c:grouping val="clustered"/>
        <c:varyColors val="0"/>
        <c:ser>
          <c:idx val="0"/>
          <c:order val="0"/>
          <c:tx>
            <c:strRef>
              <c:f>Sheet1!$B$1</c:f>
              <c:strCache>
                <c:ptCount val="1"/>
                <c:pt idx="0">
                  <c:v>Not-for-profit (n=537)</c:v>
                </c:pt>
              </c:strCache>
            </c:strRef>
          </c:tx>
          <c:spPr>
            <a:solidFill>
              <a:srgbClr val="F7941E"/>
            </a:solidFill>
            <a:ln>
              <a:solidFill>
                <a:srgbClr val="F7941E"/>
              </a:solidFill>
            </a:ln>
          </c:spPr>
          <c:invertIfNegative val="0"/>
          <c:dLbls>
            <c:dLbl>
              <c:idx val="0"/>
              <c:tx>
                <c:rich>
                  <a:bodyPr/>
                  <a:lstStyle/>
                  <a:p>
                    <a:r>
                      <a:rPr lang="en-US"/>
                      <a:t>0%</a:t>
                    </a:r>
                  </a:p>
                </c:rich>
              </c:tx>
              <c:dLblPos val="outEnd"/>
              <c:showLegendKey val="0"/>
              <c:showVal val="1"/>
              <c:showCatName val="0"/>
              <c:showSerName val="0"/>
              <c:showPercent val="0"/>
              <c:showBubbleSize val="0"/>
            </c:dLbl>
            <c:dLbl>
              <c:idx val="1"/>
              <c:tx>
                <c:rich>
                  <a:bodyPr/>
                  <a:lstStyle/>
                  <a:p>
                    <a:r>
                      <a:rPr lang="en-US"/>
                      <a:t>&lt;1%</a:t>
                    </a:r>
                  </a:p>
                </c:rich>
              </c:tx>
              <c:dLblPos val="outEnd"/>
              <c:showLegendKey val="0"/>
              <c:showVal val="1"/>
              <c:showCatName val="0"/>
              <c:showSerName val="0"/>
              <c:showPercent val="0"/>
              <c:showBubbleSize val="0"/>
            </c:dLbl>
            <c:dLbl>
              <c:idx val="3"/>
              <c:tx>
                <c:rich>
                  <a:bodyPr/>
                  <a:lstStyle/>
                  <a:p>
                    <a:r>
                      <a:rPr lang="en-US"/>
                      <a:t>0%</a:t>
                    </a:r>
                  </a:p>
                </c:rich>
              </c:tx>
              <c:dLblPos val="outEnd"/>
              <c:showLegendKey val="0"/>
              <c:showVal val="1"/>
              <c:showCatName val="0"/>
              <c:showSerName val="0"/>
              <c:showPercent val="0"/>
              <c:showBubbleSize val="0"/>
            </c:dLbl>
            <c:dLbl>
              <c:idx val="4"/>
              <c:tx>
                <c:rich>
                  <a:bodyPr/>
                  <a:lstStyle/>
                  <a:p>
                    <a:r>
                      <a:rPr lang="en-US"/>
                      <a:t>&lt;1%</a:t>
                    </a:r>
                  </a:p>
                </c:rich>
              </c:tx>
              <c:dLblPos val="outEnd"/>
              <c:showLegendKey val="0"/>
              <c:showVal val="1"/>
              <c:showCatName val="0"/>
              <c:showSerName val="0"/>
              <c:showPercent val="0"/>
              <c:showBubbleSize val="0"/>
            </c:dLbl>
            <c:dLbl>
              <c:idx val="6"/>
              <c:tx>
                <c:rich>
                  <a:bodyPr/>
                  <a:lstStyle/>
                  <a:p>
                    <a:r>
                      <a:rPr lang="en-US"/>
                      <a:t>0%</a:t>
                    </a:r>
                  </a:p>
                </c:rich>
              </c:tx>
              <c:dLblPos val="outEnd"/>
              <c:showLegendKey val="0"/>
              <c:showVal val="1"/>
              <c:showCatName val="0"/>
              <c:showSerName val="0"/>
              <c:showPercent val="0"/>
              <c:showBubbleSize val="0"/>
            </c:dLbl>
            <c:dLbl>
              <c:idx val="8"/>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Change in policy effected</c:v>
                </c:pt>
                <c:pt idx="5">
                  <c:v>Cost refunded/reduced</c:v>
                </c:pt>
                <c:pt idx="6">
                  <c:v>Compensation paid</c:v>
                </c:pt>
                <c:pt idx="7">
                  <c:v>Agreement not reached</c:v>
                </c:pt>
                <c:pt idx="8">
                  <c:v>Complaint withdrawn by individual</c:v>
                </c:pt>
                <c:pt idx="9">
                  <c:v>Change in practice/procedure effected</c:v>
                </c:pt>
                <c:pt idx="10">
                  <c:v>Service provided</c:v>
                </c:pt>
                <c:pt idx="11">
                  <c:v>Counselling/performance support/
development provided to staff member(s)/contractor(s)</c:v>
                </c:pt>
                <c:pt idx="12">
                  <c:v>Concern registered</c:v>
                </c:pt>
                <c:pt idx="13">
                  <c:v>Apology provided</c:v>
                </c:pt>
                <c:pt idx="14">
                  <c:v>Explanation provided</c:v>
                </c:pt>
              </c:strCache>
            </c:strRef>
          </c:cat>
          <c:val>
            <c:numRef>
              <c:f>Sheet1!$B$2:$B$16</c:f>
              <c:numCache>
                <c:formatCode>0</c:formatCode>
                <c:ptCount val="15"/>
                <c:pt idx="0">
                  <c:v>0</c:v>
                </c:pt>
                <c:pt idx="1">
                  <c:v>0.37243947858472998</c:v>
                </c:pt>
                <c:pt idx="2">
                  <c:v>1.6759776536312849</c:v>
                </c:pt>
                <c:pt idx="3">
                  <c:v>0</c:v>
                </c:pt>
                <c:pt idx="4">
                  <c:v>0.18621973929236499</c:v>
                </c:pt>
                <c:pt idx="5">
                  <c:v>2.0484171322160147</c:v>
                </c:pt>
                <c:pt idx="6">
                  <c:v>0</c:v>
                </c:pt>
                <c:pt idx="7">
                  <c:v>0.74487895716945995</c:v>
                </c:pt>
                <c:pt idx="8">
                  <c:v>0.18621973929236499</c:v>
                </c:pt>
                <c:pt idx="9">
                  <c:v>2.7932960893854748</c:v>
                </c:pt>
                <c:pt idx="10">
                  <c:v>6.5176908752327751</c:v>
                </c:pt>
                <c:pt idx="11">
                  <c:v>11.173184357541899</c:v>
                </c:pt>
                <c:pt idx="12">
                  <c:v>36.6852886405959</c:v>
                </c:pt>
                <c:pt idx="13">
                  <c:v>12.662942271880819</c:v>
                </c:pt>
                <c:pt idx="14">
                  <c:v>24.953445065176908</c:v>
                </c:pt>
              </c:numCache>
            </c:numRef>
          </c:val>
        </c:ser>
        <c:ser>
          <c:idx val="1"/>
          <c:order val="1"/>
          <c:tx>
            <c:strRef>
              <c:f>Sheet1!$C$1</c:f>
              <c:strCache>
                <c:ptCount val="1"/>
                <c:pt idx="0">
                  <c:v>Private (n=2,779)</c:v>
                </c:pt>
              </c:strCache>
            </c:strRef>
          </c:tx>
          <c:spPr>
            <a:solidFill>
              <a:srgbClr val="2487C4"/>
            </a:solidFill>
            <a:ln>
              <a:solidFill>
                <a:srgbClr val="2487C4"/>
              </a:solidFill>
            </a:ln>
          </c:spPr>
          <c:invertIfNegative val="0"/>
          <c:dLbls>
            <c:dLbl>
              <c:idx val="0"/>
              <c:tx>
                <c:rich>
                  <a:bodyPr/>
                  <a:lstStyle/>
                  <a:p>
                    <a:r>
                      <a:rPr lang="en-US"/>
                      <a:t>0%</a:t>
                    </a:r>
                  </a:p>
                </c:rich>
              </c:tx>
              <c:dLblPos val="outEnd"/>
              <c:showLegendKey val="0"/>
              <c:showVal val="1"/>
              <c:showCatName val="0"/>
              <c:showSerName val="0"/>
              <c:showPercent val="0"/>
              <c:showBubbleSize val="0"/>
            </c:dLbl>
            <c:dLbl>
              <c:idx val="4"/>
              <c:tx>
                <c:rich>
                  <a:bodyPr/>
                  <a:lstStyle/>
                  <a:p>
                    <a:r>
                      <a:rPr lang="en-US"/>
                      <a:t>&lt;1%</a:t>
                    </a:r>
                  </a:p>
                </c:rich>
              </c:tx>
              <c:dLblPos val="outEnd"/>
              <c:showLegendKey val="0"/>
              <c:showVal val="1"/>
              <c:showCatName val="0"/>
              <c:showSerName val="0"/>
              <c:showPercent val="0"/>
              <c:showBubbleSize val="0"/>
            </c:dLbl>
            <c:dLbl>
              <c:idx val="6"/>
              <c:tx>
                <c:rich>
                  <a:bodyPr/>
                  <a:lstStyle/>
                  <a:p>
                    <a:r>
                      <a:rPr lang="en-US"/>
                      <a:t>&lt;1%</a:t>
                    </a:r>
                  </a:p>
                </c:rich>
              </c:tx>
              <c:dLblPos val="outEnd"/>
              <c:showLegendKey val="0"/>
              <c:showVal val="1"/>
              <c:showCatName val="0"/>
              <c:showSerName val="0"/>
              <c:showPercent val="0"/>
              <c:showBubbleSize val="0"/>
            </c:dLbl>
            <c:dLbl>
              <c:idx val="8"/>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Change in policy effected</c:v>
                </c:pt>
                <c:pt idx="5">
                  <c:v>Cost refunded/reduced</c:v>
                </c:pt>
                <c:pt idx="6">
                  <c:v>Compensation paid</c:v>
                </c:pt>
                <c:pt idx="7">
                  <c:v>Agreement not reached</c:v>
                </c:pt>
                <c:pt idx="8">
                  <c:v>Complaint withdrawn by individual</c:v>
                </c:pt>
                <c:pt idx="9">
                  <c:v>Change in practice/procedure effected</c:v>
                </c:pt>
                <c:pt idx="10">
                  <c:v>Service provided</c:v>
                </c:pt>
                <c:pt idx="11">
                  <c:v>Counselling/performance support/
development provided to staff member(s)/contractor(s)</c:v>
                </c:pt>
                <c:pt idx="12">
                  <c:v>Concern registered</c:v>
                </c:pt>
                <c:pt idx="13">
                  <c:v>Apology provided</c:v>
                </c:pt>
                <c:pt idx="14">
                  <c:v>Explanation provided</c:v>
                </c:pt>
              </c:strCache>
            </c:strRef>
          </c:cat>
          <c:val>
            <c:numRef>
              <c:f>Sheet1!$C$2:$C$16</c:f>
              <c:numCache>
                <c:formatCode>0</c:formatCode>
                <c:ptCount val="15"/>
                <c:pt idx="0">
                  <c:v>0</c:v>
                </c:pt>
                <c:pt idx="1">
                  <c:v>15.329255127743794</c:v>
                </c:pt>
                <c:pt idx="2">
                  <c:v>1.0435408420295069</c:v>
                </c:pt>
                <c:pt idx="3">
                  <c:v>6.1532925512774383</c:v>
                </c:pt>
                <c:pt idx="4">
                  <c:v>0.25188916876574308</c:v>
                </c:pt>
                <c:pt idx="5">
                  <c:v>5.2177042101475353</c:v>
                </c:pt>
                <c:pt idx="6">
                  <c:v>0.21590500179920835</c:v>
                </c:pt>
                <c:pt idx="7">
                  <c:v>0.64771500539762505</c:v>
                </c:pt>
                <c:pt idx="8">
                  <c:v>0.21590500179920835</c:v>
                </c:pt>
                <c:pt idx="9">
                  <c:v>2.2670025188916876</c:v>
                </c:pt>
                <c:pt idx="10">
                  <c:v>1.0795250089960418</c:v>
                </c:pt>
                <c:pt idx="11">
                  <c:v>2.5548758546239654</c:v>
                </c:pt>
                <c:pt idx="12">
                  <c:v>14.285714285714285</c:v>
                </c:pt>
                <c:pt idx="13">
                  <c:v>23.929471032745592</c:v>
                </c:pt>
                <c:pt idx="14">
                  <c:v>26.808204390068369</c:v>
                </c:pt>
              </c:numCache>
            </c:numRef>
          </c:val>
        </c:ser>
        <c:ser>
          <c:idx val="2"/>
          <c:order val="2"/>
          <c:tx>
            <c:strRef>
              <c:f>Sheet1!$D$1</c:f>
              <c:strCache>
                <c:ptCount val="1"/>
                <c:pt idx="0">
                  <c:v>Public (n=6,836)</c:v>
                </c:pt>
              </c:strCache>
            </c:strRef>
          </c:tx>
          <c:spPr>
            <a:solidFill>
              <a:srgbClr val="04425E"/>
            </a:solidFill>
            <a:ln>
              <a:solidFill>
                <a:srgbClr val="04425E"/>
              </a:solidFill>
            </a:ln>
          </c:spPr>
          <c:invertIfNegative val="0"/>
          <c:dLbls>
            <c:dLbl>
              <c:idx val="1"/>
              <c:tx>
                <c:rich>
                  <a:bodyPr/>
                  <a:lstStyle/>
                  <a:p>
                    <a:r>
                      <a:rPr lang="en-US"/>
                      <a:t>&lt;1%</a:t>
                    </a:r>
                  </a:p>
                </c:rich>
              </c:tx>
              <c:dLblPos val="outEnd"/>
              <c:showLegendKey val="0"/>
              <c:showVal val="1"/>
              <c:showCatName val="0"/>
              <c:showSerName val="0"/>
              <c:showPercent val="0"/>
              <c:showBubbleSize val="0"/>
            </c:dLbl>
            <c:dLbl>
              <c:idx val="2"/>
              <c:tx>
                <c:rich>
                  <a:bodyPr/>
                  <a:lstStyle/>
                  <a:p>
                    <a:r>
                      <a:rPr lang="en-US"/>
                      <a:t>&lt;1%</a:t>
                    </a:r>
                  </a:p>
                </c:rich>
              </c:tx>
              <c:dLblPos val="outEnd"/>
              <c:showLegendKey val="0"/>
              <c:showVal val="1"/>
              <c:showCatName val="0"/>
              <c:showSerName val="0"/>
              <c:showPercent val="0"/>
              <c:showBubbleSize val="0"/>
            </c:dLbl>
            <c:dLbl>
              <c:idx val="4"/>
              <c:tx>
                <c:rich>
                  <a:bodyPr/>
                  <a:lstStyle/>
                  <a:p>
                    <a:r>
                      <a:rPr lang="en-US"/>
                      <a:t>&lt;1%</a:t>
                    </a:r>
                  </a:p>
                </c:rich>
              </c:tx>
              <c:dLblPos val="outEnd"/>
              <c:showLegendKey val="0"/>
              <c:showVal val="1"/>
              <c:showCatName val="0"/>
              <c:showSerName val="0"/>
              <c:showPercent val="0"/>
              <c:showBubbleSize val="0"/>
            </c:dLbl>
            <c:dLbl>
              <c:idx val="5"/>
              <c:tx>
                <c:rich>
                  <a:bodyPr/>
                  <a:lstStyle/>
                  <a:p>
                    <a:r>
                      <a:rPr lang="en-US"/>
                      <a:t>&lt;1%</a:t>
                    </a:r>
                  </a:p>
                </c:rich>
              </c:tx>
              <c:dLblPos val="outEnd"/>
              <c:showLegendKey val="0"/>
              <c:showVal val="1"/>
              <c:showCatName val="0"/>
              <c:showSerName val="0"/>
              <c:showPercent val="0"/>
              <c:showBubbleSize val="0"/>
            </c:dLbl>
            <c:dLbl>
              <c:idx val="6"/>
              <c:tx>
                <c:rich>
                  <a:bodyPr/>
                  <a:lstStyle/>
                  <a:p>
                    <a:r>
                      <a:rPr lang="en-US"/>
                      <a:t>1%</a:t>
                    </a:r>
                  </a:p>
                </c:rich>
              </c:tx>
              <c:dLblPos val="outEnd"/>
              <c:showLegendKey val="0"/>
              <c:showVal val="1"/>
              <c:showCatName val="0"/>
              <c:showSerName val="0"/>
              <c:showPercent val="0"/>
              <c:showBubbleSize val="0"/>
            </c:dLbl>
            <c:dLbl>
              <c:idx val="7"/>
              <c:tx>
                <c:rich>
                  <a:bodyPr/>
                  <a:lstStyle/>
                  <a:p>
                    <a:r>
                      <a:rPr lang="en-US"/>
                      <a:t>&lt;1%</a:t>
                    </a:r>
                  </a:p>
                </c:rich>
              </c:tx>
              <c:dLblPos val="outEnd"/>
              <c:showLegendKey val="0"/>
              <c:showVal val="1"/>
              <c:showCatName val="0"/>
              <c:showSerName val="0"/>
              <c:showPercent val="0"/>
              <c:showBubbleSize val="0"/>
            </c:dLbl>
            <c:dLbl>
              <c:idx val="8"/>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Change in policy effected</c:v>
                </c:pt>
                <c:pt idx="5">
                  <c:v>Cost refunded/reduced</c:v>
                </c:pt>
                <c:pt idx="6">
                  <c:v>Compensation paid</c:v>
                </c:pt>
                <c:pt idx="7">
                  <c:v>Agreement not reached</c:v>
                </c:pt>
                <c:pt idx="8">
                  <c:v>Complaint withdrawn by individual</c:v>
                </c:pt>
                <c:pt idx="9">
                  <c:v>Change in practice/procedure effected</c:v>
                </c:pt>
                <c:pt idx="10">
                  <c:v>Service provided</c:v>
                </c:pt>
                <c:pt idx="11">
                  <c:v>Counselling/performance support/
development provided to staff member(s)/contractor(s)</c:v>
                </c:pt>
                <c:pt idx="12">
                  <c:v>Concern registered</c:v>
                </c:pt>
                <c:pt idx="13">
                  <c:v>Apology provided</c:v>
                </c:pt>
                <c:pt idx="14">
                  <c:v>Explanation provided</c:v>
                </c:pt>
              </c:strCache>
            </c:strRef>
          </c:cat>
          <c:val>
            <c:numRef>
              <c:f>Sheet1!$D$2:$D$16</c:f>
              <c:numCache>
                <c:formatCode>0</c:formatCode>
                <c:ptCount val="15"/>
                <c:pt idx="0">
                  <c:v>5.1784669397308365</c:v>
                </c:pt>
                <c:pt idx="1">
                  <c:v>0.1901696898771211</c:v>
                </c:pt>
                <c:pt idx="2">
                  <c:v>0.45348156816851964</c:v>
                </c:pt>
                <c:pt idx="3">
                  <c:v>3.379169104739614</c:v>
                </c:pt>
                <c:pt idx="4">
                  <c:v>0.11702750146284377</c:v>
                </c:pt>
                <c:pt idx="5">
                  <c:v>0.35108250438853128</c:v>
                </c:pt>
                <c:pt idx="6">
                  <c:v>0.52662375658279692</c:v>
                </c:pt>
                <c:pt idx="7">
                  <c:v>0.4388531304856641</c:v>
                </c:pt>
                <c:pt idx="8">
                  <c:v>0.42422469280280867</c:v>
                </c:pt>
                <c:pt idx="9">
                  <c:v>1.4921006436512581</c:v>
                </c:pt>
                <c:pt idx="10">
                  <c:v>1.5213575190169688</c:v>
                </c:pt>
                <c:pt idx="11">
                  <c:v>4.8858981860737272</c:v>
                </c:pt>
                <c:pt idx="12">
                  <c:v>20.377413692217672</c:v>
                </c:pt>
                <c:pt idx="13">
                  <c:v>28.393797542422472</c:v>
                </c:pt>
                <c:pt idx="14">
                  <c:v>32.270333528379169</c:v>
                </c:pt>
              </c:numCache>
            </c:numRef>
          </c:val>
        </c:ser>
        <c:dLbls>
          <c:dLblPos val="outEnd"/>
          <c:showLegendKey val="0"/>
          <c:showVal val="1"/>
          <c:showCatName val="0"/>
          <c:showSerName val="0"/>
          <c:showPercent val="0"/>
          <c:showBubbleSize val="0"/>
        </c:dLbls>
        <c:gapWidth val="70"/>
        <c:overlap val="-15"/>
        <c:axId val="49055232"/>
        <c:axId val="49056768"/>
      </c:barChart>
      <c:catAx>
        <c:axId val="49055232"/>
        <c:scaling>
          <c:orientation val="minMax"/>
        </c:scaling>
        <c:delete val="0"/>
        <c:axPos val="l"/>
        <c:majorTickMark val="out"/>
        <c:minorTickMark val="none"/>
        <c:tickLblPos val="nextTo"/>
        <c:crossAx val="49056768"/>
        <c:crosses val="autoZero"/>
        <c:auto val="1"/>
        <c:lblAlgn val="ctr"/>
        <c:lblOffset val="100"/>
        <c:noMultiLvlLbl val="0"/>
      </c:catAx>
      <c:valAx>
        <c:axId val="49056768"/>
        <c:scaling>
          <c:orientation val="minMax"/>
          <c:max val="40"/>
        </c:scaling>
        <c:delete val="1"/>
        <c:axPos val="b"/>
        <c:numFmt formatCode="0\%" sourceLinked="0"/>
        <c:majorTickMark val="out"/>
        <c:minorTickMark val="none"/>
        <c:tickLblPos val="nextTo"/>
        <c:crossAx val="49055232"/>
        <c:crosses val="autoZero"/>
        <c:crossBetween val="between"/>
        <c:majorUnit val="10"/>
        <c:minorUnit val="2"/>
      </c:valAx>
    </c:plotArea>
    <c:legend>
      <c:legendPos val="r"/>
      <c:layout>
        <c:manualLayout>
          <c:xMode val="edge"/>
          <c:yMode val="edge"/>
          <c:x val="0.74110375970058651"/>
          <c:y val="0.44996113022529077"/>
          <c:w val="0.24336656753180394"/>
          <c:h val="0.10007758560971668"/>
        </c:manualLayout>
      </c:layout>
      <c:overlay val="1"/>
    </c:legend>
    <c:plotVisOnly val="1"/>
    <c:dispBlanksAs val="gap"/>
    <c:showDLblsOverMax val="0"/>
  </c:chart>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Complaints received</c:v>
                </c:pt>
              </c:strCache>
            </c:strRef>
          </c:tx>
          <c:spPr>
            <a:solidFill>
              <a:srgbClr val="04425E"/>
            </a:solidFill>
            <a:ln>
              <a:noFill/>
            </a:ln>
          </c:spPr>
          <c:invertIfNegative val="0"/>
          <c:dLbls>
            <c:numFmt formatCode="#,##0" sourceLinked="0"/>
            <c:txPr>
              <a:bodyPr/>
              <a:lstStyle/>
              <a:p>
                <a:pPr>
                  <a:defRPr b="1"/>
                </a:pPr>
                <a:endParaRPr lang="en-US"/>
              </a:p>
            </c:txPr>
            <c:showLegendKey val="0"/>
            <c:showVal val="1"/>
            <c:showCatName val="0"/>
            <c:showSerName val="0"/>
            <c:showPercent val="0"/>
            <c:showBubbleSize val="0"/>
            <c:showLeaderLines val="0"/>
          </c:dLbls>
          <c:cat>
            <c:strRef>
              <c:f>Sheet1!$A$2:$A$4</c:f>
              <c:strCache>
                <c:ptCount val="3"/>
                <c:pt idx="0">
                  <c:v>2015-16</c:v>
                </c:pt>
                <c:pt idx="1">
                  <c:v>2016-17</c:v>
                </c:pt>
                <c:pt idx="2">
                  <c:v>2017-18</c:v>
                </c:pt>
              </c:strCache>
            </c:strRef>
          </c:cat>
          <c:val>
            <c:numRef>
              <c:f>Sheet1!$B$2:$B$4</c:f>
              <c:numCache>
                <c:formatCode>General</c:formatCode>
                <c:ptCount val="3"/>
                <c:pt idx="0">
                  <c:v>73</c:v>
                </c:pt>
                <c:pt idx="1">
                  <c:v>87</c:v>
                </c:pt>
                <c:pt idx="2">
                  <c:v>70</c:v>
                </c:pt>
              </c:numCache>
            </c:numRef>
          </c:val>
        </c:ser>
        <c:ser>
          <c:idx val="1"/>
          <c:order val="1"/>
          <c:tx>
            <c:strRef>
              <c:f>Sheet1!$C$1</c:f>
              <c:strCache>
                <c:ptCount val="1"/>
                <c:pt idx="0">
                  <c:v>Complaints closed</c:v>
                </c:pt>
              </c:strCache>
            </c:strRef>
          </c:tx>
          <c:spPr>
            <a:solidFill>
              <a:schemeClr val="bg1">
                <a:lumMod val="75000"/>
                <a:alpha val="75000"/>
              </a:schemeClr>
            </a:solidFill>
            <a:ln>
              <a:noFill/>
            </a:ln>
          </c:spPr>
          <c:invertIfNegative val="0"/>
          <c:dLbls>
            <c:numFmt formatCode="#,##0" sourceLinked="0"/>
            <c:txPr>
              <a:bodyPr/>
              <a:lstStyle/>
              <a:p>
                <a:pPr>
                  <a:defRPr b="1"/>
                </a:pPr>
                <a:endParaRPr lang="en-US"/>
              </a:p>
            </c:txPr>
            <c:showLegendKey val="0"/>
            <c:showVal val="1"/>
            <c:showCatName val="0"/>
            <c:showSerName val="0"/>
            <c:showPercent val="0"/>
            <c:showBubbleSize val="0"/>
            <c:showLeaderLines val="0"/>
          </c:dLbls>
          <c:cat>
            <c:strRef>
              <c:f>Sheet1!$A$2:$A$4</c:f>
              <c:strCache>
                <c:ptCount val="3"/>
                <c:pt idx="0">
                  <c:v>2015-16</c:v>
                </c:pt>
                <c:pt idx="1">
                  <c:v>2016-17</c:v>
                </c:pt>
                <c:pt idx="2">
                  <c:v>2017-18</c:v>
                </c:pt>
              </c:strCache>
            </c:strRef>
          </c:cat>
          <c:val>
            <c:numRef>
              <c:f>Sheet1!$C$2:$C$4</c:f>
              <c:numCache>
                <c:formatCode>General</c:formatCode>
                <c:ptCount val="3"/>
                <c:pt idx="0">
                  <c:v>83</c:v>
                </c:pt>
                <c:pt idx="1">
                  <c:v>87</c:v>
                </c:pt>
                <c:pt idx="2">
                  <c:v>73</c:v>
                </c:pt>
              </c:numCache>
            </c:numRef>
          </c:val>
        </c:ser>
        <c:dLbls>
          <c:showLegendKey val="0"/>
          <c:showVal val="1"/>
          <c:showCatName val="0"/>
          <c:showSerName val="0"/>
          <c:showPercent val="0"/>
          <c:showBubbleSize val="0"/>
        </c:dLbls>
        <c:gapWidth val="150"/>
        <c:overlap val="-15"/>
        <c:axId val="49124096"/>
        <c:axId val="49126016"/>
      </c:barChart>
      <c:catAx>
        <c:axId val="49124096"/>
        <c:scaling>
          <c:orientation val="minMax"/>
        </c:scaling>
        <c:delete val="0"/>
        <c:axPos val="b"/>
        <c:title>
          <c:tx>
            <c:rich>
              <a:bodyPr/>
              <a:lstStyle/>
              <a:p>
                <a:pPr>
                  <a:defRPr/>
                </a:pPr>
                <a:r>
                  <a:rPr lang="en-AU"/>
                  <a:t>Financial year</a:t>
                </a:r>
              </a:p>
            </c:rich>
          </c:tx>
          <c:overlay val="0"/>
        </c:title>
        <c:majorTickMark val="out"/>
        <c:minorTickMark val="none"/>
        <c:tickLblPos val="nextTo"/>
        <c:crossAx val="49126016"/>
        <c:crosses val="autoZero"/>
        <c:auto val="1"/>
        <c:lblAlgn val="ctr"/>
        <c:lblOffset val="100"/>
        <c:noMultiLvlLbl val="0"/>
      </c:catAx>
      <c:valAx>
        <c:axId val="49126016"/>
        <c:scaling>
          <c:orientation val="minMax"/>
          <c:max val="100"/>
          <c:min val="0"/>
        </c:scaling>
        <c:delete val="1"/>
        <c:axPos val="l"/>
        <c:numFmt formatCode="#,##0" sourceLinked="0"/>
        <c:majorTickMark val="out"/>
        <c:minorTickMark val="none"/>
        <c:tickLblPos val="nextTo"/>
        <c:crossAx val="49124096"/>
        <c:crosses val="autoZero"/>
        <c:crossBetween val="between"/>
        <c:majorUnit val="100"/>
        <c:minorUnit val="100"/>
      </c:valAx>
    </c:plotArea>
    <c:legend>
      <c:legendPos val="b"/>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042288540151993"/>
          <c:y val="1.9501942411507045E-2"/>
          <c:w val="0.42856628439737715"/>
          <c:h val="0.95586792443128787"/>
        </c:manualLayout>
      </c:layout>
      <c:barChart>
        <c:barDir val="bar"/>
        <c:grouping val="clustered"/>
        <c:varyColors val="0"/>
        <c:ser>
          <c:idx val="0"/>
          <c:order val="0"/>
          <c:tx>
            <c:strRef>
              <c:f>Sheet1!$B$1</c:f>
              <c:strCache>
                <c:ptCount val="1"/>
                <c:pt idx="0">
                  <c:v>2015-16 (n=1,841)</c:v>
                </c:pt>
              </c:strCache>
            </c:strRef>
          </c:tx>
          <c:spPr>
            <a:solidFill>
              <a:srgbClr val="2487C4"/>
            </a:solidFill>
            <a:ln>
              <a:noFill/>
            </a:ln>
          </c:spPr>
          <c:invertIfNegative val="0"/>
          <c:dLbls>
            <c:numFmt formatCode="0\%" sourceLinked="0"/>
            <c:dLblPos val="outEnd"/>
            <c:showLegendKey val="0"/>
            <c:showVal val="1"/>
            <c:showCatName val="0"/>
            <c:showSerName val="0"/>
            <c:showPercent val="0"/>
            <c:showBubbleSize val="0"/>
            <c:showLeaderLines val="0"/>
          </c:dLbls>
          <c:cat>
            <c:strRef>
              <c:f>Sheet1!$A$2:$A$14</c:f>
              <c:strCache>
                <c:ptCount val="13"/>
                <c:pt idx="0">
                  <c:v>Other</c:v>
                </c:pt>
                <c:pt idx="1">
                  <c:v>HaDSCO promotional actvities</c:v>
                </c:pt>
                <c:pt idx="2">
                  <c:v>Phonebook</c:v>
                </c:pt>
                <c:pt idx="3">
                  <c:v>Friend, family or colleague</c:v>
                </c:pt>
                <c:pt idx="4">
                  <c:v>Advocacy service</c:v>
                </c:pt>
                <c:pt idx="5">
                  <c:v>Australian Medical Association</c:v>
                </c:pt>
                <c:pt idx="6">
                  <c:v>Legal service</c:v>
                </c:pt>
                <c:pt idx="7">
                  <c:v>Australian Health Practitioner Regulation Agency </c:v>
                </c:pt>
                <c:pt idx="8">
                  <c:v>HaDSCO website</c:v>
                </c:pt>
                <c:pt idx="9">
                  <c:v>Online search engine</c:v>
                </c:pt>
                <c:pt idx="10">
                  <c:v>Used HaDSCO before</c:v>
                </c:pt>
                <c:pt idx="11">
                  <c:v>Service provider </c:v>
                </c:pt>
                <c:pt idx="12">
                  <c:v>Other government department/entity</c:v>
                </c:pt>
              </c:strCache>
            </c:strRef>
          </c:cat>
          <c:val>
            <c:numRef>
              <c:f>Sheet1!$B$2:$B$14</c:f>
              <c:numCache>
                <c:formatCode>###0.0</c:formatCode>
                <c:ptCount val="13"/>
                <c:pt idx="0">
                  <c:v>9.3000000000000007</c:v>
                </c:pt>
                <c:pt idx="1">
                  <c:v>2.6</c:v>
                </c:pt>
                <c:pt idx="2">
                  <c:v>2.6</c:v>
                </c:pt>
                <c:pt idx="3">
                  <c:v>2.6</c:v>
                </c:pt>
                <c:pt idx="4">
                  <c:v>0.9</c:v>
                </c:pt>
                <c:pt idx="5">
                  <c:v>0.9</c:v>
                </c:pt>
                <c:pt idx="6">
                  <c:v>3.4</c:v>
                </c:pt>
                <c:pt idx="7">
                  <c:v>4.0999999999999996</c:v>
                </c:pt>
                <c:pt idx="8">
                  <c:v>9.3000000000000007</c:v>
                </c:pt>
                <c:pt idx="9">
                  <c:v>14.1</c:v>
                </c:pt>
                <c:pt idx="10">
                  <c:v>15.4</c:v>
                </c:pt>
                <c:pt idx="11">
                  <c:v>16.600000000000001</c:v>
                </c:pt>
                <c:pt idx="12">
                  <c:v>18.399999999999999</c:v>
                </c:pt>
              </c:numCache>
            </c:numRef>
          </c:val>
        </c:ser>
        <c:ser>
          <c:idx val="1"/>
          <c:order val="1"/>
          <c:tx>
            <c:strRef>
              <c:f>Sheet1!$C$1</c:f>
              <c:strCache>
                <c:ptCount val="1"/>
                <c:pt idx="0">
                  <c:v>2016-17 (n=1,965)</c:v>
                </c:pt>
              </c:strCache>
            </c:strRef>
          </c:tx>
          <c:spPr>
            <a:solidFill>
              <a:srgbClr val="04425E"/>
            </a:solidFill>
            <a:ln>
              <a:noFill/>
            </a:ln>
          </c:spPr>
          <c:invertIfNegative val="0"/>
          <c:dLbls>
            <c:numFmt formatCode="0\%" sourceLinked="0"/>
            <c:dLblPos val="outEnd"/>
            <c:showLegendKey val="0"/>
            <c:showVal val="1"/>
            <c:showCatName val="0"/>
            <c:showSerName val="0"/>
            <c:showPercent val="0"/>
            <c:showBubbleSize val="0"/>
            <c:showLeaderLines val="0"/>
          </c:dLbls>
          <c:cat>
            <c:strRef>
              <c:f>Sheet1!$A$2:$A$14</c:f>
              <c:strCache>
                <c:ptCount val="13"/>
                <c:pt idx="0">
                  <c:v>Other</c:v>
                </c:pt>
                <c:pt idx="1">
                  <c:v>HaDSCO promotional actvities</c:v>
                </c:pt>
                <c:pt idx="2">
                  <c:v>Phonebook</c:v>
                </c:pt>
                <c:pt idx="3">
                  <c:v>Friend, family or colleague</c:v>
                </c:pt>
                <c:pt idx="4">
                  <c:v>Advocacy service</c:v>
                </c:pt>
                <c:pt idx="5">
                  <c:v>Australian Medical Association</c:v>
                </c:pt>
                <c:pt idx="6">
                  <c:v>Legal service</c:v>
                </c:pt>
                <c:pt idx="7">
                  <c:v>Australian Health Practitioner Regulation Agency </c:v>
                </c:pt>
                <c:pt idx="8">
                  <c:v>HaDSCO website</c:v>
                </c:pt>
                <c:pt idx="9">
                  <c:v>Online search engine</c:v>
                </c:pt>
                <c:pt idx="10">
                  <c:v>Used HaDSCO before</c:v>
                </c:pt>
                <c:pt idx="11">
                  <c:v>Service provider </c:v>
                </c:pt>
                <c:pt idx="12">
                  <c:v>Other government department/entity</c:v>
                </c:pt>
              </c:strCache>
            </c:strRef>
          </c:cat>
          <c:val>
            <c:numRef>
              <c:f>Sheet1!$C$2:$C$14</c:f>
              <c:numCache>
                <c:formatCode>###0.0</c:formatCode>
                <c:ptCount val="13"/>
                <c:pt idx="0">
                  <c:v>10.737913486005089</c:v>
                </c:pt>
                <c:pt idx="1">
                  <c:v>1.3740458015267176</c:v>
                </c:pt>
                <c:pt idx="2">
                  <c:v>1.0687022900763359</c:v>
                </c:pt>
                <c:pt idx="3">
                  <c:v>1.6284987277353689</c:v>
                </c:pt>
                <c:pt idx="4">
                  <c:v>2.5954198473282442</c:v>
                </c:pt>
                <c:pt idx="5">
                  <c:v>1.5267175572519083</c:v>
                </c:pt>
                <c:pt idx="6">
                  <c:v>3.4605597964376589</c:v>
                </c:pt>
                <c:pt idx="7">
                  <c:v>4.5801526717557248</c:v>
                </c:pt>
                <c:pt idx="8">
                  <c:v>8.9058524173027998</c:v>
                </c:pt>
                <c:pt idx="9">
                  <c:v>12.824427480916031</c:v>
                </c:pt>
                <c:pt idx="10">
                  <c:v>11.145038167938932</c:v>
                </c:pt>
                <c:pt idx="11">
                  <c:v>20.966921119592875</c:v>
                </c:pt>
                <c:pt idx="12">
                  <c:v>19.185750636132315</c:v>
                </c:pt>
              </c:numCache>
            </c:numRef>
          </c:val>
        </c:ser>
        <c:ser>
          <c:idx val="2"/>
          <c:order val="2"/>
          <c:tx>
            <c:strRef>
              <c:f>Sheet1!$D$1</c:f>
              <c:strCache>
                <c:ptCount val="1"/>
                <c:pt idx="0">
                  <c:v>2017-18 (n=1,800)</c:v>
                </c:pt>
              </c:strCache>
            </c:strRef>
          </c:tx>
          <c:spPr>
            <a:solidFill>
              <a:schemeClr val="bg1">
                <a:lumMod val="75000"/>
              </a:schemeClr>
            </a:solidFill>
            <a:ln>
              <a:noFill/>
            </a:ln>
          </c:spPr>
          <c:invertIfNegative val="0"/>
          <c:dLbls>
            <c:numFmt formatCode="0\%" sourceLinked="0"/>
            <c:dLblPos val="outEnd"/>
            <c:showLegendKey val="0"/>
            <c:showVal val="1"/>
            <c:showCatName val="0"/>
            <c:showSerName val="0"/>
            <c:showPercent val="0"/>
            <c:showBubbleSize val="0"/>
            <c:showLeaderLines val="0"/>
          </c:dLbls>
          <c:cat>
            <c:strRef>
              <c:f>Sheet1!$A$2:$A$14</c:f>
              <c:strCache>
                <c:ptCount val="13"/>
                <c:pt idx="0">
                  <c:v>Other</c:v>
                </c:pt>
                <c:pt idx="1">
                  <c:v>HaDSCO promotional actvities</c:v>
                </c:pt>
                <c:pt idx="2">
                  <c:v>Phonebook</c:v>
                </c:pt>
                <c:pt idx="3">
                  <c:v>Friend, family or colleague</c:v>
                </c:pt>
                <c:pt idx="4">
                  <c:v>Advocacy service</c:v>
                </c:pt>
                <c:pt idx="5">
                  <c:v>Australian Medical Association</c:v>
                </c:pt>
                <c:pt idx="6">
                  <c:v>Legal service</c:v>
                </c:pt>
                <c:pt idx="7">
                  <c:v>Australian Health Practitioner Regulation Agency </c:v>
                </c:pt>
                <c:pt idx="8">
                  <c:v>HaDSCO website</c:v>
                </c:pt>
                <c:pt idx="9">
                  <c:v>Online search engine</c:v>
                </c:pt>
                <c:pt idx="10">
                  <c:v>Used HaDSCO before</c:v>
                </c:pt>
                <c:pt idx="11">
                  <c:v>Service provider </c:v>
                </c:pt>
                <c:pt idx="12">
                  <c:v>Other government department/entity</c:v>
                </c:pt>
              </c:strCache>
            </c:strRef>
          </c:cat>
          <c:val>
            <c:numRef>
              <c:f>Sheet1!$D$2:$D$14</c:f>
              <c:numCache>
                <c:formatCode>###0.0</c:formatCode>
                <c:ptCount val="13"/>
                <c:pt idx="0">
                  <c:v>11.2</c:v>
                </c:pt>
                <c:pt idx="1">
                  <c:v>0.8</c:v>
                </c:pt>
                <c:pt idx="2">
                  <c:v>1.2</c:v>
                </c:pt>
                <c:pt idx="3">
                  <c:v>1.7</c:v>
                </c:pt>
                <c:pt idx="4">
                  <c:v>1.9</c:v>
                </c:pt>
                <c:pt idx="5">
                  <c:v>2</c:v>
                </c:pt>
                <c:pt idx="6">
                  <c:v>3.1</c:v>
                </c:pt>
                <c:pt idx="7">
                  <c:v>4.7</c:v>
                </c:pt>
                <c:pt idx="8">
                  <c:v>7.7</c:v>
                </c:pt>
                <c:pt idx="9">
                  <c:v>13.9</c:v>
                </c:pt>
                <c:pt idx="10">
                  <c:v>16.2</c:v>
                </c:pt>
                <c:pt idx="11">
                  <c:v>17.8</c:v>
                </c:pt>
                <c:pt idx="12">
                  <c:v>17.899999999999999</c:v>
                </c:pt>
              </c:numCache>
            </c:numRef>
          </c:val>
        </c:ser>
        <c:dLbls>
          <c:dLblPos val="outEnd"/>
          <c:showLegendKey val="0"/>
          <c:showVal val="1"/>
          <c:showCatName val="0"/>
          <c:showSerName val="0"/>
          <c:showPercent val="0"/>
          <c:showBubbleSize val="0"/>
        </c:dLbls>
        <c:gapWidth val="60"/>
        <c:overlap val="-18"/>
        <c:axId val="92952832"/>
        <c:axId val="126222336"/>
      </c:barChart>
      <c:catAx>
        <c:axId val="92952832"/>
        <c:scaling>
          <c:orientation val="minMax"/>
        </c:scaling>
        <c:delete val="0"/>
        <c:axPos val="l"/>
        <c:majorTickMark val="out"/>
        <c:minorTickMark val="none"/>
        <c:tickLblPos val="nextTo"/>
        <c:crossAx val="126222336"/>
        <c:crosses val="autoZero"/>
        <c:auto val="1"/>
        <c:lblAlgn val="ctr"/>
        <c:lblOffset val="100"/>
        <c:noMultiLvlLbl val="0"/>
      </c:catAx>
      <c:valAx>
        <c:axId val="126222336"/>
        <c:scaling>
          <c:orientation val="minMax"/>
          <c:max val="40"/>
          <c:min val="0"/>
        </c:scaling>
        <c:delete val="1"/>
        <c:axPos val="b"/>
        <c:numFmt formatCode="0\%" sourceLinked="0"/>
        <c:majorTickMark val="out"/>
        <c:minorTickMark val="none"/>
        <c:tickLblPos val="nextTo"/>
        <c:crossAx val="92952832"/>
        <c:crosses val="autoZero"/>
        <c:crossBetween val="between"/>
        <c:majorUnit val="10"/>
        <c:minorUnit val="2"/>
      </c:valAx>
    </c:plotArea>
    <c:legend>
      <c:legendPos val="r"/>
      <c:layout/>
      <c:overlay val="1"/>
    </c:legend>
    <c:plotVisOnly val="1"/>
    <c:dispBlanksAs val="gap"/>
    <c:showDLblsOverMax val="0"/>
  </c:chart>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2015-16 (n=83)</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Sheet1!$B$2:$B$6</c:f>
              <c:numCache>
                <c:formatCode>General</c:formatCode>
                <c:ptCount val="5"/>
                <c:pt idx="0">
                  <c:v>29</c:v>
                </c:pt>
                <c:pt idx="1">
                  <c:v>42</c:v>
                </c:pt>
                <c:pt idx="2">
                  <c:v>4</c:v>
                </c:pt>
                <c:pt idx="3">
                  <c:v>14</c:v>
                </c:pt>
                <c:pt idx="4">
                  <c:v>11</c:v>
                </c:pt>
              </c:numCache>
            </c:numRef>
          </c:val>
        </c:ser>
        <c:ser>
          <c:idx val="1"/>
          <c:order val="1"/>
          <c:tx>
            <c:strRef>
              <c:f>Sheet1!$C$1</c:f>
              <c:strCache>
                <c:ptCount val="1"/>
                <c:pt idx="0">
                  <c:v>2016-17 (n=87)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Sheet1!$C$2:$C$6</c:f>
              <c:numCache>
                <c:formatCode>General</c:formatCode>
                <c:ptCount val="5"/>
                <c:pt idx="0">
                  <c:v>23</c:v>
                </c:pt>
                <c:pt idx="1">
                  <c:v>48</c:v>
                </c:pt>
                <c:pt idx="2">
                  <c:v>1</c:v>
                </c:pt>
                <c:pt idx="3">
                  <c:v>17</c:v>
                </c:pt>
                <c:pt idx="4">
                  <c:v>10</c:v>
                </c:pt>
              </c:numCache>
            </c:numRef>
          </c:val>
        </c:ser>
        <c:ser>
          <c:idx val="2"/>
          <c:order val="2"/>
          <c:tx>
            <c:strRef>
              <c:f>Sheet1!$D$1</c:f>
              <c:strCache>
                <c:ptCount val="1"/>
                <c:pt idx="0">
                  <c:v>2017-18 (n=73)</c:v>
                </c:pt>
              </c:strCache>
            </c:strRef>
          </c:tx>
          <c:spPr>
            <a:solidFill>
              <a:schemeClr val="bg1">
                <a:lumMod val="75000"/>
              </a:schemeClr>
            </a:solidFill>
            <a:ln>
              <a:noFill/>
            </a:ln>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Sheet1!$D$2:$D$6</c:f>
              <c:numCache>
                <c:formatCode>General</c:formatCode>
                <c:ptCount val="5"/>
                <c:pt idx="0">
                  <c:v>26</c:v>
                </c:pt>
                <c:pt idx="1">
                  <c:v>48</c:v>
                </c:pt>
                <c:pt idx="2">
                  <c:v>4</c:v>
                </c:pt>
                <c:pt idx="3">
                  <c:v>11</c:v>
                </c:pt>
                <c:pt idx="4">
                  <c:v>11</c:v>
                </c:pt>
              </c:numCache>
            </c:numRef>
          </c:val>
        </c:ser>
        <c:dLbls>
          <c:dLblPos val="outEnd"/>
          <c:showLegendKey val="0"/>
          <c:showVal val="1"/>
          <c:showCatName val="0"/>
          <c:showSerName val="0"/>
          <c:showPercent val="0"/>
          <c:showBubbleSize val="0"/>
        </c:dLbls>
        <c:gapWidth val="75"/>
        <c:overlap val="-10"/>
        <c:axId val="49140480"/>
        <c:axId val="49142016"/>
      </c:barChart>
      <c:catAx>
        <c:axId val="49140480"/>
        <c:scaling>
          <c:orientation val="minMax"/>
        </c:scaling>
        <c:delete val="0"/>
        <c:axPos val="b"/>
        <c:majorTickMark val="out"/>
        <c:minorTickMark val="none"/>
        <c:tickLblPos val="nextTo"/>
        <c:crossAx val="49142016"/>
        <c:crosses val="autoZero"/>
        <c:auto val="1"/>
        <c:lblAlgn val="ctr"/>
        <c:lblOffset val="100"/>
        <c:noMultiLvlLbl val="0"/>
      </c:catAx>
      <c:valAx>
        <c:axId val="49142016"/>
        <c:scaling>
          <c:orientation val="minMax"/>
          <c:max val="60"/>
        </c:scaling>
        <c:delete val="1"/>
        <c:axPos val="l"/>
        <c:numFmt formatCode="0\%" sourceLinked="0"/>
        <c:majorTickMark val="out"/>
        <c:minorTickMark val="none"/>
        <c:tickLblPos val="nextTo"/>
        <c:crossAx val="49140480"/>
        <c:crosses val="autoZero"/>
        <c:crossBetween val="between"/>
        <c:majorUnit val="20"/>
        <c:minorUnit val="2"/>
      </c:valAx>
    </c:plotArea>
    <c:legend>
      <c:legendPos val="r"/>
      <c:layout>
        <c:manualLayout>
          <c:xMode val="edge"/>
          <c:yMode val="edge"/>
          <c:x val="0.80238021717873498"/>
          <c:y val="5.1131949415413963E-2"/>
          <c:w val="0.18424683048387305"/>
          <c:h val="0.30470050618672667"/>
        </c:manualLayout>
      </c:layout>
      <c:overlay val="1"/>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302983971663739E-2"/>
          <c:y val="6.7859346082665015E-2"/>
          <c:w val="0.9804255536019163"/>
          <c:h val="0.7268828841328755"/>
        </c:manualLayout>
      </c:layout>
      <c:barChart>
        <c:barDir val="col"/>
        <c:grouping val="clustered"/>
        <c:varyColors val="0"/>
        <c:ser>
          <c:idx val="0"/>
          <c:order val="0"/>
          <c:tx>
            <c:strRef>
              <c:f>Sheet1!$B$1</c:f>
              <c:strCache>
                <c:ptCount val="1"/>
                <c:pt idx="0">
                  <c:v>2016-17</c:v>
                </c:pt>
              </c:strCache>
            </c:strRef>
          </c:tx>
          <c:spPr>
            <a:solidFill>
              <a:schemeClr val="bg1">
                <a:lumMod val="75000"/>
              </a:schemeClr>
            </a:solidFill>
            <a:ln>
              <a:noFill/>
            </a:ln>
          </c:spPr>
          <c:invertIfNegative val="0"/>
          <c:dLbls>
            <c:numFmt formatCode="0\%" sourceLinked="0"/>
            <c:dLblPos val="outEnd"/>
            <c:showLegendKey val="0"/>
            <c:showVal val="1"/>
            <c:showCatName val="0"/>
            <c:showSerName val="0"/>
            <c:showPercent val="0"/>
            <c:showBubbleSize val="0"/>
            <c:showLeaderLines val="0"/>
          </c:dLbls>
          <c:cat>
            <c:strRef>
              <c:f>Sheet1!$A$2:$A$13</c:f>
              <c:strCache>
                <c:ptCount val="12"/>
                <c:pt idx="0">
                  <c:v>0 to 14</c:v>
                </c:pt>
                <c:pt idx="1">
                  <c:v>15 to 24</c:v>
                </c:pt>
                <c:pt idx="2">
                  <c:v>25 to 34</c:v>
                </c:pt>
                <c:pt idx="3">
                  <c:v>35 to 44</c:v>
                </c:pt>
                <c:pt idx="4">
                  <c:v>45 to 54</c:v>
                </c:pt>
                <c:pt idx="5">
                  <c:v>55 to 64</c:v>
                </c:pt>
                <c:pt idx="6">
                  <c:v>65 to 74</c:v>
                </c:pt>
                <c:pt idx="7">
                  <c:v>75 +</c:v>
                </c:pt>
                <c:pt idx="9">
                  <c:v>Male</c:v>
                </c:pt>
                <c:pt idx="10">
                  <c:v>Female</c:v>
                </c:pt>
                <c:pt idx="11">
                  <c:v>Unknown</c:v>
                </c:pt>
              </c:strCache>
            </c:strRef>
          </c:cat>
          <c:val>
            <c:numRef>
              <c:f>Sheet1!$B$2:$B$13</c:f>
              <c:numCache>
                <c:formatCode>###0.0</c:formatCode>
                <c:ptCount val="12"/>
                <c:pt idx="0" formatCode="General">
                  <c:v>21</c:v>
                </c:pt>
                <c:pt idx="1">
                  <c:v>24</c:v>
                </c:pt>
                <c:pt idx="2">
                  <c:v>12</c:v>
                </c:pt>
                <c:pt idx="3">
                  <c:v>14</c:v>
                </c:pt>
                <c:pt idx="4">
                  <c:v>14</c:v>
                </c:pt>
                <c:pt idx="5">
                  <c:v>14</c:v>
                </c:pt>
                <c:pt idx="6">
                  <c:v>0</c:v>
                </c:pt>
                <c:pt idx="7">
                  <c:v>0</c:v>
                </c:pt>
                <c:pt idx="9" formatCode="General">
                  <c:v>49</c:v>
                </c:pt>
                <c:pt idx="10" formatCode="General">
                  <c:v>47</c:v>
                </c:pt>
                <c:pt idx="11" formatCode="General">
                  <c:v>4</c:v>
                </c:pt>
              </c:numCache>
            </c:numRef>
          </c:val>
        </c:ser>
        <c:dLbls>
          <c:dLblPos val="outEnd"/>
          <c:showLegendKey val="0"/>
          <c:showVal val="1"/>
          <c:showCatName val="0"/>
          <c:showSerName val="0"/>
          <c:showPercent val="0"/>
          <c:showBubbleSize val="0"/>
        </c:dLbls>
        <c:gapWidth val="60"/>
        <c:overlap val="-25"/>
        <c:axId val="49256704"/>
        <c:axId val="49263744"/>
      </c:barChart>
      <c:catAx>
        <c:axId val="49256704"/>
        <c:scaling>
          <c:orientation val="minMax"/>
        </c:scaling>
        <c:delete val="0"/>
        <c:axPos val="b"/>
        <c:majorTickMark val="out"/>
        <c:minorTickMark val="none"/>
        <c:tickLblPos val="nextTo"/>
        <c:crossAx val="49263744"/>
        <c:crosses val="autoZero"/>
        <c:auto val="1"/>
        <c:lblAlgn val="ctr"/>
        <c:lblOffset val="100"/>
        <c:noMultiLvlLbl val="0"/>
      </c:catAx>
      <c:valAx>
        <c:axId val="49263744"/>
        <c:scaling>
          <c:orientation val="minMax"/>
          <c:max val="80"/>
        </c:scaling>
        <c:delete val="1"/>
        <c:axPos val="l"/>
        <c:numFmt formatCode="0\%" sourceLinked="0"/>
        <c:majorTickMark val="out"/>
        <c:minorTickMark val="none"/>
        <c:tickLblPos val="nextTo"/>
        <c:crossAx val="49256704"/>
        <c:crosses val="autoZero"/>
        <c:crossBetween val="between"/>
        <c:majorUnit val="20"/>
        <c:minorUnit val="20"/>
      </c:valAx>
    </c:plotArea>
    <c:plotVisOnly val="1"/>
    <c:dispBlanksAs val="gap"/>
    <c:showDLblsOverMax val="0"/>
  </c:chart>
  <c:spPr>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423916213371873E-2"/>
          <c:y val="6.7859346082665015E-2"/>
          <c:w val="0.95389484073666575"/>
          <c:h val="0.77974628171478566"/>
        </c:manualLayout>
      </c:layout>
      <c:barChart>
        <c:barDir val="col"/>
        <c:grouping val="clustered"/>
        <c:varyColors val="0"/>
        <c:ser>
          <c:idx val="0"/>
          <c:order val="0"/>
          <c:tx>
            <c:strRef>
              <c:f>Sheet1!$B$1</c:f>
              <c:strCache>
                <c:ptCount val="1"/>
                <c:pt idx="0">
                  <c:v>2015-16 (n=82)</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Sheet1!$B$2:$B$7</c:f>
              <c:numCache>
                <c:formatCode>###0.0</c:formatCode>
                <c:ptCount val="6"/>
                <c:pt idx="0">
                  <c:v>59.8</c:v>
                </c:pt>
                <c:pt idx="1">
                  <c:v>17.100000000000001</c:v>
                </c:pt>
                <c:pt idx="2">
                  <c:v>17.100000000000001</c:v>
                </c:pt>
                <c:pt idx="3">
                  <c:v>3.7</c:v>
                </c:pt>
                <c:pt idx="4">
                  <c:v>2.4</c:v>
                </c:pt>
                <c:pt idx="5">
                  <c:v>0</c:v>
                </c:pt>
              </c:numCache>
            </c:numRef>
          </c:val>
        </c:ser>
        <c:ser>
          <c:idx val="1"/>
          <c:order val="1"/>
          <c:tx>
            <c:strRef>
              <c:f>Sheet1!$C$1</c:f>
              <c:strCache>
                <c:ptCount val="1"/>
                <c:pt idx="0">
                  <c:v>2016-17 (n=87)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Sheet1!$C$2:$C$7</c:f>
              <c:numCache>
                <c:formatCode>###0.0</c:formatCode>
                <c:ptCount val="6"/>
                <c:pt idx="0">
                  <c:v>63.218390804597703</c:v>
                </c:pt>
                <c:pt idx="1">
                  <c:v>21.839080459770116</c:v>
                </c:pt>
                <c:pt idx="2">
                  <c:v>9.1954022988505741</c:v>
                </c:pt>
                <c:pt idx="3">
                  <c:v>2.2988505747126435</c:v>
                </c:pt>
                <c:pt idx="4">
                  <c:v>2.2988505747126435</c:v>
                </c:pt>
                <c:pt idx="5">
                  <c:v>1.1494252873563218</c:v>
                </c:pt>
              </c:numCache>
            </c:numRef>
          </c:val>
        </c:ser>
        <c:ser>
          <c:idx val="2"/>
          <c:order val="2"/>
          <c:tx>
            <c:strRef>
              <c:f>Sheet1!$D$1</c:f>
              <c:strCache>
                <c:ptCount val="1"/>
                <c:pt idx="0">
                  <c:v>2017-18 (n=73)</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Sheet1!$D$2:$D$7</c:f>
              <c:numCache>
                <c:formatCode>###0.0</c:formatCode>
                <c:ptCount val="6"/>
                <c:pt idx="0">
                  <c:v>47</c:v>
                </c:pt>
                <c:pt idx="1">
                  <c:v>26</c:v>
                </c:pt>
                <c:pt idx="2">
                  <c:v>18</c:v>
                </c:pt>
                <c:pt idx="3">
                  <c:v>4</c:v>
                </c:pt>
                <c:pt idx="4">
                  <c:v>5</c:v>
                </c:pt>
                <c:pt idx="5">
                  <c:v>0</c:v>
                </c:pt>
              </c:numCache>
            </c:numRef>
          </c:val>
        </c:ser>
        <c:dLbls>
          <c:dLblPos val="outEnd"/>
          <c:showLegendKey val="0"/>
          <c:showVal val="1"/>
          <c:showCatName val="0"/>
          <c:showSerName val="0"/>
          <c:showPercent val="0"/>
          <c:showBubbleSize val="0"/>
        </c:dLbls>
        <c:gapWidth val="101"/>
        <c:overlap val="-20"/>
        <c:axId val="49274240"/>
        <c:axId val="50209920"/>
      </c:barChart>
      <c:catAx>
        <c:axId val="49274240"/>
        <c:scaling>
          <c:orientation val="minMax"/>
        </c:scaling>
        <c:delete val="0"/>
        <c:axPos val="b"/>
        <c:majorTickMark val="out"/>
        <c:minorTickMark val="none"/>
        <c:tickLblPos val="nextTo"/>
        <c:crossAx val="50209920"/>
        <c:crosses val="autoZero"/>
        <c:auto val="1"/>
        <c:lblAlgn val="ctr"/>
        <c:lblOffset val="100"/>
        <c:noMultiLvlLbl val="0"/>
      </c:catAx>
      <c:valAx>
        <c:axId val="50209920"/>
        <c:scaling>
          <c:orientation val="minMax"/>
          <c:max val="100"/>
        </c:scaling>
        <c:delete val="1"/>
        <c:axPos val="l"/>
        <c:numFmt formatCode="0\%" sourceLinked="0"/>
        <c:majorTickMark val="out"/>
        <c:minorTickMark val="none"/>
        <c:tickLblPos val="nextTo"/>
        <c:crossAx val="49274240"/>
        <c:crosses val="autoZero"/>
        <c:crossBetween val="between"/>
        <c:majorUnit val="20"/>
        <c:minorUnit val="2"/>
      </c:valAx>
    </c:plotArea>
    <c:legend>
      <c:legendPos val="r"/>
      <c:layout>
        <c:manualLayout>
          <c:xMode val="edge"/>
          <c:yMode val="edge"/>
          <c:x val="0.75323122512911689"/>
          <c:y val="9.3176637908299734E-2"/>
          <c:w val="0.18187328033271202"/>
          <c:h val="0.30744555579201249"/>
        </c:manualLayout>
      </c:layout>
      <c:overlay val="1"/>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271153951222405"/>
          <c:y val="1.4991456274344691E-2"/>
          <c:w val="0.48709478173983983"/>
          <c:h val="0.96232707556119479"/>
        </c:manualLayout>
      </c:layout>
      <c:barChart>
        <c:barDir val="bar"/>
        <c:grouping val="clustered"/>
        <c:varyColors val="0"/>
        <c:ser>
          <c:idx val="0"/>
          <c:order val="0"/>
          <c:tx>
            <c:strRef>
              <c:f>Sheet1!$B$1</c:f>
              <c:strCache>
                <c:ptCount val="1"/>
                <c:pt idx="0">
                  <c:v>2015-16 (n=82)</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Sheet1!$A$2:$A$13</c:f>
              <c:strCache>
                <c:ptCount val="12"/>
                <c:pt idx="0">
                  <c:v>Participation and integration</c:v>
                </c:pt>
                <c:pt idx="1">
                  <c:v>Service access</c:v>
                </c:pt>
                <c:pt idx="2">
                  <c:v>Privacy, dignity and confidentiality</c:v>
                </c:pt>
                <c:pt idx="3">
                  <c:v>Requests for information (enquiry)</c:v>
                </c:pt>
                <c:pt idx="4">
                  <c:v>Legal and human rights</c:v>
                </c:pt>
                <c:pt idx="5">
                  <c:v>Carers Charter</c:v>
                </c:pt>
                <c:pt idx="6">
                  <c:v>Complaints and disputes</c:v>
                </c:pt>
                <c:pt idx="7">
                  <c:v>Individual needs</c:v>
                </c:pt>
                <c:pt idx="8">
                  <c:v>Decision making and choice</c:v>
                </c:pt>
                <c:pt idx="9">
                  <c:v>Service costs and financial assistance</c:v>
                </c:pt>
                <c:pt idx="10">
                  <c:v>Service management</c:v>
                </c:pt>
                <c:pt idx="11">
                  <c:v>Service delivery</c:v>
                </c:pt>
              </c:strCache>
            </c:strRef>
          </c:cat>
          <c:val>
            <c:numRef>
              <c:f>Sheet1!$B$2:$B$13</c:f>
              <c:numCache>
                <c:formatCode>###0</c:formatCode>
                <c:ptCount val="12"/>
                <c:pt idx="0">
                  <c:v>0</c:v>
                </c:pt>
                <c:pt idx="1">
                  <c:v>8.5299999999999994</c:v>
                </c:pt>
                <c:pt idx="2">
                  <c:v>3.7</c:v>
                </c:pt>
                <c:pt idx="3">
                  <c:v>8.5299999999999994</c:v>
                </c:pt>
                <c:pt idx="4">
                  <c:v>2.4</c:v>
                </c:pt>
                <c:pt idx="5">
                  <c:v>9.8000000000000007</c:v>
                </c:pt>
                <c:pt idx="6">
                  <c:v>13.4</c:v>
                </c:pt>
                <c:pt idx="7">
                  <c:v>22</c:v>
                </c:pt>
                <c:pt idx="8">
                  <c:v>11</c:v>
                </c:pt>
                <c:pt idx="9">
                  <c:v>22</c:v>
                </c:pt>
                <c:pt idx="10">
                  <c:v>13.4</c:v>
                </c:pt>
                <c:pt idx="11">
                  <c:v>36.6</c:v>
                </c:pt>
              </c:numCache>
            </c:numRef>
          </c:val>
        </c:ser>
        <c:ser>
          <c:idx val="1"/>
          <c:order val="1"/>
          <c:tx>
            <c:strRef>
              <c:f>Sheet1!$C$1</c:f>
              <c:strCache>
                <c:ptCount val="1"/>
                <c:pt idx="0">
                  <c:v>2016-17 (n=87)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Sheet1!$A$2:$A$13</c:f>
              <c:strCache>
                <c:ptCount val="12"/>
                <c:pt idx="0">
                  <c:v>Participation and integration</c:v>
                </c:pt>
                <c:pt idx="1">
                  <c:v>Service access</c:v>
                </c:pt>
                <c:pt idx="2">
                  <c:v>Privacy, dignity and confidentiality</c:v>
                </c:pt>
                <c:pt idx="3">
                  <c:v>Requests for information (enquiry)</c:v>
                </c:pt>
                <c:pt idx="4">
                  <c:v>Legal and human rights</c:v>
                </c:pt>
                <c:pt idx="5">
                  <c:v>Carers Charter</c:v>
                </c:pt>
                <c:pt idx="6">
                  <c:v>Complaints and disputes</c:v>
                </c:pt>
                <c:pt idx="7">
                  <c:v>Individual needs</c:v>
                </c:pt>
                <c:pt idx="8">
                  <c:v>Decision making and choice</c:v>
                </c:pt>
                <c:pt idx="9">
                  <c:v>Service costs and financial assistance</c:v>
                </c:pt>
                <c:pt idx="10">
                  <c:v>Service management</c:v>
                </c:pt>
                <c:pt idx="11">
                  <c:v>Service delivery</c:v>
                </c:pt>
              </c:strCache>
            </c:strRef>
          </c:cat>
          <c:val>
            <c:numRef>
              <c:f>Sheet1!$C$2:$C$13</c:f>
              <c:numCache>
                <c:formatCode>###0</c:formatCode>
                <c:ptCount val="12"/>
                <c:pt idx="0">
                  <c:v>1.1000000000000001</c:v>
                </c:pt>
                <c:pt idx="1">
                  <c:v>4.5999999999999996</c:v>
                </c:pt>
                <c:pt idx="2">
                  <c:v>1.1000000000000001</c:v>
                </c:pt>
                <c:pt idx="3">
                  <c:v>24.1</c:v>
                </c:pt>
                <c:pt idx="4">
                  <c:v>4.5999999999999996</c:v>
                </c:pt>
                <c:pt idx="5">
                  <c:v>13.8</c:v>
                </c:pt>
                <c:pt idx="6">
                  <c:v>16.100000000000001</c:v>
                </c:pt>
                <c:pt idx="7">
                  <c:v>4.5999999999999996</c:v>
                </c:pt>
                <c:pt idx="8">
                  <c:v>8</c:v>
                </c:pt>
                <c:pt idx="9">
                  <c:v>17.2</c:v>
                </c:pt>
                <c:pt idx="10">
                  <c:v>16.100000000000001</c:v>
                </c:pt>
                <c:pt idx="11">
                  <c:v>31</c:v>
                </c:pt>
              </c:numCache>
            </c:numRef>
          </c:val>
        </c:ser>
        <c:ser>
          <c:idx val="2"/>
          <c:order val="2"/>
          <c:tx>
            <c:strRef>
              <c:f>Sheet1!$D$1</c:f>
              <c:strCache>
                <c:ptCount val="1"/>
                <c:pt idx="0">
                  <c:v>2017-18 (n=73)</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Sheet1!$A$2:$A$13</c:f>
              <c:strCache>
                <c:ptCount val="12"/>
                <c:pt idx="0">
                  <c:v>Participation and integration</c:v>
                </c:pt>
                <c:pt idx="1">
                  <c:v>Service access</c:v>
                </c:pt>
                <c:pt idx="2">
                  <c:v>Privacy, dignity and confidentiality</c:v>
                </c:pt>
                <c:pt idx="3">
                  <c:v>Requests for information (enquiry)</c:v>
                </c:pt>
                <c:pt idx="4">
                  <c:v>Legal and human rights</c:v>
                </c:pt>
                <c:pt idx="5">
                  <c:v>Carers Charter</c:v>
                </c:pt>
                <c:pt idx="6">
                  <c:v>Complaints and disputes</c:v>
                </c:pt>
                <c:pt idx="7">
                  <c:v>Individual needs</c:v>
                </c:pt>
                <c:pt idx="8">
                  <c:v>Decision making and choice</c:v>
                </c:pt>
                <c:pt idx="9">
                  <c:v>Service costs and financial assistance</c:v>
                </c:pt>
                <c:pt idx="10">
                  <c:v>Service management</c:v>
                </c:pt>
                <c:pt idx="11">
                  <c:v>Service delivery</c:v>
                </c:pt>
              </c:strCache>
            </c:strRef>
          </c:cat>
          <c:val>
            <c:numRef>
              <c:f>Sheet1!$D$2:$D$13</c:f>
              <c:numCache>
                <c:formatCode>###0</c:formatCode>
                <c:ptCount val="12"/>
                <c:pt idx="0">
                  <c:v>0</c:v>
                </c:pt>
                <c:pt idx="1">
                  <c:v>1</c:v>
                </c:pt>
                <c:pt idx="2">
                  <c:v>4</c:v>
                </c:pt>
                <c:pt idx="3">
                  <c:v>4</c:v>
                </c:pt>
                <c:pt idx="4">
                  <c:v>7</c:v>
                </c:pt>
                <c:pt idx="5">
                  <c:v>7</c:v>
                </c:pt>
                <c:pt idx="6">
                  <c:v>7</c:v>
                </c:pt>
                <c:pt idx="7">
                  <c:v>11</c:v>
                </c:pt>
                <c:pt idx="8">
                  <c:v>14</c:v>
                </c:pt>
                <c:pt idx="9">
                  <c:v>16</c:v>
                </c:pt>
                <c:pt idx="10">
                  <c:v>42</c:v>
                </c:pt>
                <c:pt idx="11">
                  <c:v>48</c:v>
                </c:pt>
              </c:numCache>
            </c:numRef>
          </c:val>
        </c:ser>
        <c:dLbls>
          <c:dLblPos val="outEnd"/>
          <c:showLegendKey val="0"/>
          <c:showVal val="1"/>
          <c:showCatName val="0"/>
          <c:showSerName val="0"/>
          <c:showPercent val="0"/>
          <c:showBubbleSize val="0"/>
        </c:dLbls>
        <c:gapWidth val="60"/>
        <c:overlap val="-20"/>
        <c:axId val="50920832"/>
        <c:axId val="50926720"/>
      </c:barChart>
      <c:catAx>
        <c:axId val="50920832"/>
        <c:scaling>
          <c:orientation val="minMax"/>
        </c:scaling>
        <c:delete val="0"/>
        <c:axPos val="l"/>
        <c:numFmt formatCode="General" sourceLinked="1"/>
        <c:majorTickMark val="out"/>
        <c:minorTickMark val="none"/>
        <c:tickLblPos val="nextTo"/>
        <c:crossAx val="50926720"/>
        <c:crosses val="autoZero"/>
        <c:auto val="1"/>
        <c:lblAlgn val="ctr"/>
        <c:lblOffset val="100"/>
        <c:noMultiLvlLbl val="0"/>
      </c:catAx>
      <c:valAx>
        <c:axId val="50926720"/>
        <c:scaling>
          <c:orientation val="minMax"/>
          <c:max val="50"/>
        </c:scaling>
        <c:delete val="1"/>
        <c:axPos val="b"/>
        <c:numFmt formatCode="0\%" sourceLinked="0"/>
        <c:majorTickMark val="out"/>
        <c:minorTickMark val="none"/>
        <c:tickLblPos val="nextTo"/>
        <c:crossAx val="50920832"/>
        <c:crosses val="autoZero"/>
        <c:crossBetween val="between"/>
        <c:majorUnit val="10"/>
        <c:minorUnit val="2"/>
      </c:valAx>
    </c:plotArea>
    <c:legend>
      <c:legendPos val="r"/>
      <c:layout>
        <c:manualLayout>
          <c:xMode val="edge"/>
          <c:yMode val="edge"/>
          <c:x val="0.76076768181755061"/>
          <c:y val="0.74613180233491705"/>
          <c:w val="0.19924139789476802"/>
          <c:h val="0.12040382227300971"/>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2097334116564274"/>
          <c:y val="1.749857854201485E-2"/>
          <c:w val="0.63592145918469056"/>
          <c:h val="0.96195133157589441"/>
        </c:manualLayout>
      </c:layout>
      <c:barChart>
        <c:barDir val="bar"/>
        <c:grouping val="clustered"/>
        <c:varyColors val="0"/>
        <c:ser>
          <c:idx val="0"/>
          <c:order val="0"/>
          <c:tx>
            <c:strRef>
              <c:f>Sheet1!$B$1</c:f>
              <c:strCache>
                <c:ptCount val="1"/>
                <c:pt idx="0">
                  <c:v>2015-16 (n=83)</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Administration</c:v>
                </c:pt>
                <c:pt idx="1">
                  <c:v>Recreation</c:v>
                </c:pt>
                <c:pt idx="2">
                  <c:v>Transport</c:v>
                </c:pt>
                <c:pt idx="3">
                  <c:v>Employment</c:v>
                </c:pt>
                <c:pt idx="4">
                  <c:v>Advocacy</c:v>
                </c:pt>
                <c:pt idx="5">
                  <c:v>Respite</c:v>
                </c:pt>
                <c:pt idx="6">
                  <c:v>Day activities</c:v>
                </c:pt>
                <c:pt idx="7">
                  <c:v>Therapy</c:v>
                </c:pt>
                <c:pt idx="8">
                  <c:v>Grant (funds)</c:v>
                </c:pt>
                <c:pt idx="9">
                  <c:v>Accommodation</c:v>
                </c:pt>
                <c:pt idx="10">
                  <c:v>In-home support</c:v>
                </c:pt>
              </c:strCache>
            </c:strRef>
          </c:cat>
          <c:val>
            <c:numRef>
              <c:f>Sheet1!$B$2:$B$12</c:f>
              <c:numCache>
                <c:formatCode>General</c:formatCode>
                <c:ptCount val="11"/>
                <c:pt idx="0">
                  <c:v>0</c:v>
                </c:pt>
                <c:pt idx="1">
                  <c:v>1.2</c:v>
                </c:pt>
                <c:pt idx="2">
                  <c:v>2.4</c:v>
                </c:pt>
                <c:pt idx="3">
                  <c:v>2.4</c:v>
                </c:pt>
                <c:pt idx="4">
                  <c:v>3.6</c:v>
                </c:pt>
                <c:pt idx="5">
                  <c:v>7.2</c:v>
                </c:pt>
                <c:pt idx="6">
                  <c:v>4.8</c:v>
                </c:pt>
                <c:pt idx="7">
                  <c:v>10.8</c:v>
                </c:pt>
                <c:pt idx="8">
                  <c:v>21.7</c:v>
                </c:pt>
                <c:pt idx="9">
                  <c:v>27.7</c:v>
                </c:pt>
                <c:pt idx="10">
                  <c:v>18.100000000000001</c:v>
                </c:pt>
              </c:numCache>
            </c:numRef>
          </c:val>
        </c:ser>
        <c:ser>
          <c:idx val="1"/>
          <c:order val="1"/>
          <c:tx>
            <c:strRef>
              <c:f>Sheet1!$C$1</c:f>
              <c:strCache>
                <c:ptCount val="1"/>
                <c:pt idx="0">
                  <c:v>2016-17 (n=86)</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Administration</c:v>
                </c:pt>
                <c:pt idx="1">
                  <c:v>Recreation</c:v>
                </c:pt>
                <c:pt idx="2">
                  <c:v>Transport</c:v>
                </c:pt>
                <c:pt idx="3">
                  <c:v>Employment</c:v>
                </c:pt>
                <c:pt idx="4">
                  <c:v>Advocacy</c:v>
                </c:pt>
                <c:pt idx="5">
                  <c:v>Respite</c:v>
                </c:pt>
                <c:pt idx="6">
                  <c:v>Day activities</c:v>
                </c:pt>
                <c:pt idx="7">
                  <c:v>Therapy</c:v>
                </c:pt>
                <c:pt idx="8">
                  <c:v>Grant (funds)</c:v>
                </c:pt>
                <c:pt idx="9">
                  <c:v>Accommodation</c:v>
                </c:pt>
                <c:pt idx="10">
                  <c:v>In-home support</c:v>
                </c:pt>
              </c:strCache>
            </c:strRef>
          </c:cat>
          <c:val>
            <c:numRef>
              <c:f>Sheet1!$C$2:$C$12</c:f>
              <c:numCache>
                <c:formatCode>###0.0</c:formatCode>
                <c:ptCount val="11"/>
                <c:pt idx="0">
                  <c:v>1.1627906976744187</c:v>
                </c:pt>
                <c:pt idx="1">
                  <c:v>1.1627906976744187</c:v>
                </c:pt>
                <c:pt idx="2">
                  <c:v>2.3255813953488373</c:v>
                </c:pt>
                <c:pt idx="3">
                  <c:v>4.6511627906976747</c:v>
                </c:pt>
                <c:pt idx="4">
                  <c:v>3.4883720930232558</c:v>
                </c:pt>
                <c:pt idx="5">
                  <c:v>16.279069767441861</c:v>
                </c:pt>
                <c:pt idx="6">
                  <c:v>4.6511627906976747</c:v>
                </c:pt>
                <c:pt idx="7">
                  <c:v>5.8139534883720927</c:v>
                </c:pt>
                <c:pt idx="8">
                  <c:v>29.069767441860467</c:v>
                </c:pt>
                <c:pt idx="9">
                  <c:v>15.11627906976744</c:v>
                </c:pt>
                <c:pt idx="10">
                  <c:v>16.279069767441861</c:v>
                </c:pt>
              </c:numCache>
            </c:numRef>
          </c:val>
        </c:ser>
        <c:ser>
          <c:idx val="2"/>
          <c:order val="2"/>
          <c:tx>
            <c:strRef>
              <c:f>Sheet1!$D$1</c:f>
              <c:strCache>
                <c:ptCount val="1"/>
                <c:pt idx="0">
                  <c:v>2017-18 (n=73)</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Administration</c:v>
                </c:pt>
                <c:pt idx="1">
                  <c:v>Recreation</c:v>
                </c:pt>
                <c:pt idx="2">
                  <c:v>Transport</c:v>
                </c:pt>
                <c:pt idx="3">
                  <c:v>Employment</c:v>
                </c:pt>
                <c:pt idx="4">
                  <c:v>Advocacy</c:v>
                </c:pt>
                <c:pt idx="5">
                  <c:v>Respite</c:v>
                </c:pt>
                <c:pt idx="6">
                  <c:v>Day activities</c:v>
                </c:pt>
                <c:pt idx="7">
                  <c:v>Therapy</c:v>
                </c:pt>
                <c:pt idx="8">
                  <c:v>Grant (funds)</c:v>
                </c:pt>
                <c:pt idx="9">
                  <c:v>Accommodation</c:v>
                </c:pt>
                <c:pt idx="10">
                  <c:v>In-home support</c:v>
                </c:pt>
              </c:strCache>
            </c:strRef>
          </c:cat>
          <c:val>
            <c:numRef>
              <c:f>Sheet1!$D$2:$D$12</c:f>
              <c:numCache>
                <c:formatCode>###0.0</c:formatCode>
                <c:ptCount val="11"/>
                <c:pt idx="0">
                  <c:v>0</c:v>
                </c:pt>
                <c:pt idx="1">
                  <c:v>0</c:v>
                </c:pt>
                <c:pt idx="2">
                  <c:v>1</c:v>
                </c:pt>
                <c:pt idx="3">
                  <c:v>3</c:v>
                </c:pt>
                <c:pt idx="4">
                  <c:v>4</c:v>
                </c:pt>
                <c:pt idx="5">
                  <c:v>4</c:v>
                </c:pt>
                <c:pt idx="6">
                  <c:v>8</c:v>
                </c:pt>
                <c:pt idx="7">
                  <c:v>8</c:v>
                </c:pt>
                <c:pt idx="8">
                  <c:v>21</c:v>
                </c:pt>
                <c:pt idx="9">
                  <c:v>22</c:v>
                </c:pt>
                <c:pt idx="10">
                  <c:v>29</c:v>
                </c:pt>
              </c:numCache>
            </c:numRef>
          </c:val>
        </c:ser>
        <c:dLbls>
          <c:dLblPos val="outEnd"/>
          <c:showLegendKey val="0"/>
          <c:showVal val="1"/>
          <c:showCatName val="0"/>
          <c:showSerName val="0"/>
          <c:showPercent val="0"/>
          <c:showBubbleSize val="0"/>
        </c:dLbls>
        <c:gapWidth val="65"/>
        <c:overlap val="-15"/>
        <c:axId val="50950912"/>
        <c:axId val="50952448"/>
      </c:barChart>
      <c:catAx>
        <c:axId val="50950912"/>
        <c:scaling>
          <c:orientation val="minMax"/>
        </c:scaling>
        <c:delete val="0"/>
        <c:axPos val="l"/>
        <c:majorTickMark val="out"/>
        <c:minorTickMark val="none"/>
        <c:tickLblPos val="nextTo"/>
        <c:crossAx val="50952448"/>
        <c:crosses val="autoZero"/>
        <c:auto val="1"/>
        <c:lblAlgn val="ctr"/>
        <c:lblOffset val="100"/>
        <c:noMultiLvlLbl val="0"/>
      </c:catAx>
      <c:valAx>
        <c:axId val="50952448"/>
        <c:scaling>
          <c:orientation val="minMax"/>
          <c:max val="40"/>
        </c:scaling>
        <c:delete val="1"/>
        <c:axPos val="b"/>
        <c:numFmt formatCode="0\%" sourceLinked="0"/>
        <c:majorTickMark val="out"/>
        <c:minorTickMark val="none"/>
        <c:tickLblPos val="nextTo"/>
        <c:crossAx val="50950912"/>
        <c:crosses val="autoZero"/>
        <c:crossBetween val="between"/>
        <c:majorUnit val="10"/>
        <c:minorUnit val="2"/>
      </c:valAx>
    </c:plotArea>
    <c:legend>
      <c:legendPos val="r"/>
      <c:layout>
        <c:manualLayout>
          <c:xMode val="edge"/>
          <c:yMode val="edge"/>
          <c:x val="0.64244499173286163"/>
          <c:y val="0.66572891757826091"/>
          <c:w val="0.24877380415553782"/>
          <c:h val="0.1390079702358997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Sheet1!$B$1</c:f>
              <c:strCache>
                <c:ptCount val="1"/>
                <c:pt idx="0">
                  <c:v>2015-16</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Sheet1!$A$2:$A$4</c:f>
              <c:strCache>
                <c:ptCount val="3"/>
                <c:pt idx="0">
                  <c:v>Issues raised</c:v>
                </c:pt>
                <c:pt idx="1">
                  <c:v>Complaints closed</c:v>
                </c:pt>
                <c:pt idx="2">
                  <c:v>Complaints received</c:v>
                </c:pt>
              </c:strCache>
            </c:strRef>
          </c:cat>
          <c:val>
            <c:numRef>
              <c:f>Sheet1!$B$2:$B$4</c:f>
              <c:numCache>
                <c:formatCode>General</c:formatCode>
                <c:ptCount val="3"/>
                <c:pt idx="0">
                  <c:v>936</c:v>
                </c:pt>
                <c:pt idx="1">
                  <c:v>371</c:v>
                </c:pt>
                <c:pt idx="2">
                  <c:v>385</c:v>
                </c:pt>
              </c:numCache>
            </c:numRef>
          </c:val>
        </c:ser>
        <c:ser>
          <c:idx val="1"/>
          <c:order val="1"/>
          <c:tx>
            <c:strRef>
              <c:f>Sheet1!$C$1</c:f>
              <c:strCache>
                <c:ptCount val="1"/>
                <c:pt idx="0">
                  <c:v>2016-17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Sheet1!$A$2:$A$4</c:f>
              <c:strCache>
                <c:ptCount val="3"/>
                <c:pt idx="0">
                  <c:v>Issues raised</c:v>
                </c:pt>
                <c:pt idx="1">
                  <c:v>Complaints closed</c:v>
                </c:pt>
                <c:pt idx="2">
                  <c:v>Complaints received</c:v>
                </c:pt>
              </c:strCache>
            </c:strRef>
          </c:cat>
          <c:val>
            <c:numRef>
              <c:f>Sheet1!$C$2:$C$4</c:f>
              <c:numCache>
                <c:formatCode>General</c:formatCode>
                <c:ptCount val="3"/>
                <c:pt idx="0">
                  <c:v>1185</c:v>
                </c:pt>
                <c:pt idx="1">
                  <c:v>461</c:v>
                </c:pt>
                <c:pt idx="2">
                  <c:v>464</c:v>
                </c:pt>
              </c:numCache>
            </c:numRef>
          </c:val>
        </c:ser>
        <c:ser>
          <c:idx val="2"/>
          <c:order val="2"/>
          <c:tx>
            <c:strRef>
              <c:f>Sheet1!$D$1</c:f>
              <c:strCache>
                <c:ptCount val="1"/>
                <c:pt idx="0">
                  <c:v>2017-18</c:v>
                </c:pt>
              </c:strCache>
            </c:strRef>
          </c:tx>
          <c:spPr>
            <a:solidFill>
              <a:schemeClr val="bg1">
                <a:lumMod val="75000"/>
              </a:schemeClr>
            </a:solidFill>
            <a:ln>
              <a:noFill/>
            </a:ln>
          </c:spPr>
          <c:invertIfNegative val="0"/>
          <c:cat>
            <c:strRef>
              <c:f>Sheet1!$A$2:$A$4</c:f>
              <c:strCache>
                <c:ptCount val="3"/>
                <c:pt idx="0">
                  <c:v>Issues raised</c:v>
                </c:pt>
                <c:pt idx="1">
                  <c:v>Complaints closed</c:v>
                </c:pt>
                <c:pt idx="2">
                  <c:v>Complaints received</c:v>
                </c:pt>
              </c:strCache>
            </c:strRef>
          </c:cat>
          <c:val>
            <c:numRef>
              <c:f>Sheet1!$D$2:$D$4</c:f>
              <c:numCache>
                <c:formatCode>General</c:formatCode>
                <c:ptCount val="3"/>
                <c:pt idx="0">
                  <c:v>899</c:v>
                </c:pt>
                <c:pt idx="1">
                  <c:v>425</c:v>
                </c:pt>
                <c:pt idx="2">
                  <c:v>449</c:v>
                </c:pt>
              </c:numCache>
            </c:numRef>
          </c:val>
        </c:ser>
        <c:dLbls>
          <c:dLblPos val="outEnd"/>
          <c:showLegendKey val="0"/>
          <c:showVal val="1"/>
          <c:showCatName val="0"/>
          <c:showSerName val="0"/>
          <c:showPercent val="0"/>
          <c:showBubbleSize val="0"/>
        </c:dLbls>
        <c:gapWidth val="150"/>
        <c:overlap val="-15"/>
        <c:axId val="51053696"/>
        <c:axId val="51055232"/>
      </c:barChart>
      <c:catAx>
        <c:axId val="51053696"/>
        <c:scaling>
          <c:orientation val="minMax"/>
        </c:scaling>
        <c:delete val="0"/>
        <c:axPos val="l"/>
        <c:majorTickMark val="out"/>
        <c:minorTickMark val="none"/>
        <c:tickLblPos val="nextTo"/>
        <c:crossAx val="51055232"/>
        <c:crosses val="autoZero"/>
        <c:auto val="1"/>
        <c:lblAlgn val="ctr"/>
        <c:lblOffset val="100"/>
        <c:noMultiLvlLbl val="0"/>
      </c:catAx>
      <c:valAx>
        <c:axId val="51055232"/>
        <c:scaling>
          <c:orientation val="minMax"/>
        </c:scaling>
        <c:delete val="1"/>
        <c:axPos val="b"/>
        <c:numFmt formatCode="General" sourceLinked="1"/>
        <c:majorTickMark val="out"/>
        <c:minorTickMark val="none"/>
        <c:tickLblPos val="nextTo"/>
        <c:crossAx val="51053696"/>
        <c:crosses val="autoZero"/>
        <c:crossBetween val="between"/>
      </c:valAx>
    </c:plotArea>
    <c:legend>
      <c:legendPos val="r"/>
      <c:layout>
        <c:manualLayout>
          <c:xMode val="edge"/>
          <c:yMode val="edge"/>
          <c:x val="0.82637054514527153"/>
          <c:y val="0.28925720296305119"/>
          <c:w val="0.12252608667818962"/>
          <c:h val="0.32194770465012629"/>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255718831324427"/>
          <c:y val="1.9277108433734941E-2"/>
          <c:w val="0.63630339201230424"/>
          <c:h val="0.96144578313253015"/>
        </c:manualLayout>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Sheet1!$A$2:$A$10</c:f>
              <c:strCache>
                <c:ptCount val="9"/>
                <c:pt idx="0">
                  <c:v>Other</c:v>
                </c:pt>
                <c:pt idx="1">
                  <c:v>Carer</c:v>
                </c:pt>
                <c:pt idx="2">
                  <c:v>Anonymous</c:v>
                </c:pt>
                <c:pt idx="3">
                  <c:v>Advocate</c:v>
                </c:pt>
                <c:pt idx="4">
                  <c:v>Friend, neighbour, 
member of the public</c:v>
                </c:pt>
                <c:pt idx="5">
                  <c:v>Staff member</c:v>
                </c:pt>
                <c:pt idx="6">
                  <c:v>Other family member</c:v>
                </c:pt>
                <c:pt idx="7">
                  <c:v>Self</c:v>
                </c:pt>
                <c:pt idx="8">
                  <c:v>Parent/guardian</c:v>
                </c:pt>
              </c:strCache>
            </c:strRef>
          </c:cat>
          <c:val>
            <c:numRef>
              <c:f>Sheet1!$B$2:$B$10</c:f>
              <c:numCache>
                <c:formatCode>0.0</c:formatCode>
                <c:ptCount val="9"/>
                <c:pt idx="0">
                  <c:v>2.1563342318059302</c:v>
                </c:pt>
                <c:pt idx="1">
                  <c:v>9.9730458221024261</c:v>
                </c:pt>
                <c:pt idx="2">
                  <c:v>0.80862533692722371</c:v>
                </c:pt>
                <c:pt idx="3">
                  <c:v>2.1563342318059302</c:v>
                </c:pt>
                <c:pt idx="4">
                  <c:v>2.1563342318059302</c:v>
                </c:pt>
                <c:pt idx="5">
                  <c:v>1.0781671159029651</c:v>
                </c:pt>
                <c:pt idx="6">
                  <c:v>7.2776280323450138</c:v>
                </c:pt>
                <c:pt idx="7">
                  <c:v>19.946091644204852</c:v>
                </c:pt>
                <c:pt idx="8">
                  <c:v>63.881401617250674</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Sheet1!$A$2:$A$10</c:f>
              <c:strCache>
                <c:ptCount val="9"/>
                <c:pt idx="0">
                  <c:v>Other</c:v>
                </c:pt>
                <c:pt idx="1">
                  <c:v>Carer</c:v>
                </c:pt>
                <c:pt idx="2">
                  <c:v>Anonymous</c:v>
                </c:pt>
                <c:pt idx="3">
                  <c:v>Advocate</c:v>
                </c:pt>
                <c:pt idx="4">
                  <c:v>Friend, neighbour, 
member of the public</c:v>
                </c:pt>
                <c:pt idx="5">
                  <c:v>Staff member</c:v>
                </c:pt>
                <c:pt idx="6">
                  <c:v>Other family member</c:v>
                </c:pt>
                <c:pt idx="7">
                  <c:v>Self</c:v>
                </c:pt>
                <c:pt idx="8">
                  <c:v>Parent/guardian</c:v>
                </c:pt>
              </c:strCache>
            </c:strRef>
          </c:cat>
          <c:val>
            <c:numRef>
              <c:f>Sheet1!$C$2:$C$10</c:f>
              <c:numCache>
                <c:formatCode>General</c:formatCode>
                <c:ptCount val="9"/>
                <c:pt idx="0">
                  <c:v>3.2537960954446854</c:v>
                </c:pt>
                <c:pt idx="1">
                  <c:v>2.3861171366594358</c:v>
                </c:pt>
                <c:pt idx="2">
                  <c:v>0.86767895878524948</c:v>
                </c:pt>
                <c:pt idx="3">
                  <c:v>1.5184381778741864</c:v>
                </c:pt>
                <c:pt idx="4">
                  <c:v>3.9045553145336225</c:v>
                </c:pt>
                <c:pt idx="5">
                  <c:v>3.68763557483731</c:v>
                </c:pt>
                <c:pt idx="6">
                  <c:v>6.2906724511930596</c:v>
                </c:pt>
                <c:pt idx="7">
                  <c:v>16.485900216919742</c:v>
                </c:pt>
                <c:pt idx="8">
                  <c:v>62.689804772234268</c:v>
                </c:pt>
              </c:numCache>
            </c:numRef>
          </c:val>
        </c:ser>
        <c:ser>
          <c:idx val="2"/>
          <c:order val="2"/>
          <c:tx>
            <c:strRef>
              <c:f>Sheet1!$D$1</c:f>
              <c:strCache>
                <c:ptCount val="1"/>
                <c:pt idx="0">
                  <c:v>2017-18 (n=425)</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Sheet1!$A$2:$A$10</c:f>
              <c:strCache>
                <c:ptCount val="9"/>
                <c:pt idx="0">
                  <c:v>Other</c:v>
                </c:pt>
                <c:pt idx="1">
                  <c:v>Carer</c:v>
                </c:pt>
                <c:pt idx="2">
                  <c:v>Anonymous</c:v>
                </c:pt>
                <c:pt idx="3">
                  <c:v>Advocate</c:v>
                </c:pt>
                <c:pt idx="4">
                  <c:v>Friend, neighbour, 
member of the public</c:v>
                </c:pt>
                <c:pt idx="5">
                  <c:v>Staff member</c:v>
                </c:pt>
                <c:pt idx="6">
                  <c:v>Other family member</c:v>
                </c:pt>
                <c:pt idx="7">
                  <c:v>Self</c:v>
                </c:pt>
                <c:pt idx="8">
                  <c:v>Parent/guardian</c:v>
                </c:pt>
              </c:strCache>
            </c:strRef>
          </c:cat>
          <c:val>
            <c:numRef>
              <c:f>Sheet1!$D$2:$D$10</c:f>
              <c:numCache>
                <c:formatCode>General</c:formatCode>
                <c:ptCount val="9"/>
                <c:pt idx="0">
                  <c:v>4.7</c:v>
                </c:pt>
                <c:pt idx="1">
                  <c:v>1.9</c:v>
                </c:pt>
                <c:pt idx="2">
                  <c:v>2.4</c:v>
                </c:pt>
                <c:pt idx="3">
                  <c:v>3.5</c:v>
                </c:pt>
                <c:pt idx="4">
                  <c:v>3.5</c:v>
                </c:pt>
                <c:pt idx="5">
                  <c:v>4</c:v>
                </c:pt>
                <c:pt idx="6">
                  <c:v>8.4700000000000006</c:v>
                </c:pt>
                <c:pt idx="7">
                  <c:v>16</c:v>
                </c:pt>
                <c:pt idx="8">
                  <c:v>57.2</c:v>
                </c:pt>
              </c:numCache>
            </c:numRef>
          </c:val>
        </c:ser>
        <c:dLbls>
          <c:dLblPos val="outEnd"/>
          <c:showLegendKey val="0"/>
          <c:showVal val="1"/>
          <c:showCatName val="0"/>
          <c:showSerName val="0"/>
          <c:showPercent val="0"/>
          <c:showBubbleSize val="0"/>
        </c:dLbls>
        <c:gapWidth val="75"/>
        <c:overlap val="-30"/>
        <c:axId val="51086464"/>
        <c:axId val="51088000"/>
      </c:barChart>
      <c:catAx>
        <c:axId val="51086464"/>
        <c:scaling>
          <c:orientation val="minMax"/>
        </c:scaling>
        <c:delete val="0"/>
        <c:axPos val="l"/>
        <c:majorTickMark val="out"/>
        <c:minorTickMark val="none"/>
        <c:tickLblPos val="nextTo"/>
        <c:crossAx val="51088000"/>
        <c:crosses val="autoZero"/>
        <c:auto val="1"/>
        <c:lblAlgn val="ctr"/>
        <c:lblOffset val="100"/>
        <c:noMultiLvlLbl val="0"/>
      </c:catAx>
      <c:valAx>
        <c:axId val="51088000"/>
        <c:scaling>
          <c:orientation val="minMax"/>
          <c:max val="80"/>
        </c:scaling>
        <c:delete val="1"/>
        <c:axPos val="b"/>
        <c:numFmt formatCode="0\%" sourceLinked="0"/>
        <c:majorTickMark val="out"/>
        <c:minorTickMark val="none"/>
        <c:tickLblPos val="nextTo"/>
        <c:crossAx val="51086464"/>
        <c:crosses val="autoZero"/>
        <c:crossBetween val="between"/>
        <c:majorUnit val="20"/>
        <c:minorUnit val="2"/>
      </c:valAx>
    </c:plotArea>
    <c:legend>
      <c:legendPos val="r"/>
      <c:layout>
        <c:manualLayout>
          <c:xMode val="edge"/>
          <c:yMode val="edge"/>
          <c:x val="0.66655499272781982"/>
          <c:y val="0.58446523100275116"/>
          <c:w val="0.25553426840753185"/>
          <c:h val="0.15843294657805657"/>
        </c:manualLayout>
      </c:layout>
      <c:overlay val="1"/>
    </c:legend>
    <c:plotVisOnly val="1"/>
    <c:dispBlanksAs val="gap"/>
    <c:showDLblsOverMax val="0"/>
  </c:chart>
  <c:spPr>
    <a:ln w="3175">
      <a:solidFill>
        <a:schemeClr val="bg1">
          <a:lumMod val="50000"/>
        </a:schemeClr>
      </a:solidFill>
    </a:ln>
  </c:spPr>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88475584387568"/>
          <c:y val="3.2305433186490456E-2"/>
          <c:w val="0.70245054984565281"/>
          <c:h val="0.93538913362701914"/>
        </c:manualLayout>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Sheet1!$A$2:$A$14</c:f>
              <c:strCache>
                <c:ptCount val="13"/>
                <c:pt idx="0">
                  <c:v>Unknown</c:v>
                </c:pt>
                <c:pt idx="1">
                  <c:v>Less than 5 years</c:v>
                </c:pt>
                <c:pt idx="2">
                  <c:v>5-10 years</c:v>
                </c:pt>
                <c:pt idx="3">
                  <c:v>11-15 years</c:v>
                </c:pt>
                <c:pt idx="4">
                  <c:v>16-18 years</c:v>
                </c:pt>
                <c:pt idx="5">
                  <c:v>19-25 years</c:v>
                </c:pt>
                <c:pt idx="6">
                  <c:v>26-35 years</c:v>
                </c:pt>
                <c:pt idx="7">
                  <c:v>36-45 years</c:v>
                </c:pt>
                <c:pt idx="8">
                  <c:v>46-55 years</c:v>
                </c:pt>
                <c:pt idx="9">
                  <c:v>56-65 years</c:v>
                </c:pt>
                <c:pt idx="10">
                  <c:v>66-75 years</c:v>
                </c:pt>
                <c:pt idx="11">
                  <c:v>76-90 years</c:v>
                </c:pt>
                <c:pt idx="12">
                  <c:v>Over 90 years</c:v>
                </c:pt>
              </c:strCache>
            </c:strRef>
          </c:cat>
          <c:val>
            <c:numRef>
              <c:f>Sheet1!$B$2:$B$14</c:f>
              <c:numCache>
                <c:formatCode>0</c:formatCode>
                <c:ptCount val="13"/>
                <c:pt idx="0">
                  <c:v>3.5040431266846364</c:v>
                </c:pt>
                <c:pt idx="1">
                  <c:v>2.9649595687331538</c:v>
                </c:pt>
                <c:pt idx="2">
                  <c:v>9.9730458221024261</c:v>
                </c:pt>
                <c:pt idx="3">
                  <c:v>10.512129380053908</c:v>
                </c:pt>
                <c:pt idx="4">
                  <c:v>4.5822102425876015</c:v>
                </c:pt>
                <c:pt idx="5">
                  <c:v>14.824797843665769</c:v>
                </c:pt>
                <c:pt idx="6">
                  <c:v>17.250673854447442</c:v>
                </c:pt>
                <c:pt idx="7">
                  <c:v>14.555256064690028</c:v>
                </c:pt>
                <c:pt idx="8">
                  <c:v>11.05121293800539</c:v>
                </c:pt>
                <c:pt idx="9">
                  <c:v>11.05121293800539</c:v>
                </c:pt>
                <c:pt idx="10">
                  <c:v>1.3477088948787064</c:v>
                </c:pt>
                <c:pt idx="11">
                  <c:v>0</c:v>
                </c:pt>
                <c:pt idx="12">
                  <c:v>0</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dLbl>
              <c:idx val="10"/>
              <c:tx>
                <c:rich>
                  <a:bodyPr/>
                  <a:lstStyle/>
                  <a:p>
                    <a:r>
                      <a:rPr lang="en-US"/>
                      <a:t>&lt;1%</a:t>
                    </a:r>
                  </a:p>
                </c:rich>
              </c:tx>
              <c:dLblPos val="outEnd"/>
              <c:showLegendKey val="0"/>
              <c:showVal val="1"/>
              <c:showCatName val="0"/>
              <c:showSerName val="0"/>
              <c:showPercent val="0"/>
              <c:showBubbleSize val="0"/>
            </c:dLbl>
            <c:dLbl>
              <c:idx val="11"/>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Sheet1!$A$2:$A$14</c:f>
              <c:strCache>
                <c:ptCount val="13"/>
                <c:pt idx="0">
                  <c:v>Unknown</c:v>
                </c:pt>
                <c:pt idx="1">
                  <c:v>Less than 5 years</c:v>
                </c:pt>
                <c:pt idx="2">
                  <c:v>5-10 years</c:v>
                </c:pt>
                <c:pt idx="3">
                  <c:v>11-15 years</c:v>
                </c:pt>
                <c:pt idx="4">
                  <c:v>16-18 years</c:v>
                </c:pt>
                <c:pt idx="5">
                  <c:v>19-25 years</c:v>
                </c:pt>
                <c:pt idx="6">
                  <c:v>26-35 years</c:v>
                </c:pt>
                <c:pt idx="7">
                  <c:v>36-45 years</c:v>
                </c:pt>
                <c:pt idx="8">
                  <c:v>46-55 years</c:v>
                </c:pt>
                <c:pt idx="9">
                  <c:v>56-65 years</c:v>
                </c:pt>
                <c:pt idx="10">
                  <c:v>66-75 years</c:v>
                </c:pt>
                <c:pt idx="11">
                  <c:v>76-90 years</c:v>
                </c:pt>
                <c:pt idx="12">
                  <c:v>Over 90 years</c:v>
                </c:pt>
              </c:strCache>
            </c:strRef>
          </c:cat>
          <c:val>
            <c:numRef>
              <c:f>Sheet1!$C$2:$C$14</c:f>
              <c:numCache>
                <c:formatCode>General</c:formatCode>
                <c:ptCount val="13"/>
                <c:pt idx="0">
                  <c:v>2</c:v>
                </c:pt>
                <c:pt idx="1">
                  <c:v>4.8</c:v>
                </c:pt>
                <c:pt idx="2">
                  <c:v>13</c:v>
                </c:pt>
                <c:pt idx="3">
                  <c:v>8.1999999999999993</c:v>
                </c:pt>
                <c:pt idx="4">
                  <c:v>8.1999999999999993</c:v>
                </c:pt>
                <c:pt idx="5">
                  <c:v>16.100000000000001</c:v>
                </c:pt>
                <c:pt idx="6">
                  <c:v>12.8</c:v>
                </c:pt>
                <c:pt idx="7">
                  <c:v>9.5</c:v>
                </c:pt>
                <c:pt idx="8">
                  <c:v>14.1</c:v>
                </c:pt>
                <c:pt idx="9">
                  <c:v>8.5</c:v>
                </c:pt>
                <c:pt idx="10">
                  <c:v>0.2</c:v>
                </c:pt>
                <c:pt idx="11">
                  <c:v>0.2</c:v>
                </c:pt>
                <c:pt idx="12">
                  <c:v>0</c:v>
                </c:pt>
              </c:numCache>
            </c:numRef>
          </c:val>
        </c:ser>
        <c:ser>
          <c:idx val="2"/>
          <c:order val="2"/>
          <c:tx>
            <c:strRef>
              <c:f>Sheet1!$D$1</c:f>
              <c:strCache>
                <c:ptCount val="1"/>
                <c:pt idx="0">
                  <c:v>2017-18 (n=425)</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Sheet1!$A$2:$A$14</c:f>
              <c:strCache>
                <c:ptCount val="13"/>
                <c:pt idx="0">
                  <c:v>Unknown</c:v>
                </c:pt>
                <c:pt idx="1">
                  <c:v>Less than 5 years</c:v>
                </c:pt>
                <c:pt idx="2">
                  <c:v>5-10 years</c:v>
                </c:pt>
                <c:pt idx="3">
                  <c:v>11-15 years</c:v>
                </c:pt>
                <c:pt idx="4">
                  <c:v>16-18 years</c:v>
                </c:pt>
                <c:pt idx="5">
                  <c:v>19-25 years</c:v>
                </c:pt>
                <c:pt idx="6">
                  <c:v>26-35 years</c:v>
                </c:pt>
                <c:pt idx="7">
                  <c:v>36-45 years</c:v>
                </c:pt>
                <c:pt idx="8">
                  <c:v>46-55 years</c:v>
                </c:pt>
                <c:pt idx="9">
                  <c:v>56-65 years</c:v>
                </c:pt>
                <c:pt idx="10">
                  <c:v>66-75 years</c:v>
                </c:pt>
                <c:pt idx="11">
                  <c:v>76-90 years</c:v>
                </c:pt>
                <c:pt idx="12">
                  <c:v>Over 90 years</c:v>
                </c:pt>
              </c:strCache>
            </c:strRef>
          </c:cat>
          <c:val>
            <c:numRef>
              <c:f>Sheet1!$D$2:$D$14</c:f>
              <c:numCache>
                <c:formatCode>General</c:formatCode>
                <c:ptCount val="13"/>
                <c:pt idx="0">
                  <c:v>4</c:v>
                </c:pt>
                <c:pt idx="1">
                  <c:v>3.8</c:v>
                </c:pt>
                <c:pt idx="2">
                  <c:v>12.7</c:v>
                </c:pt>
                <c:pt idx="3">
                  <c:v>8.6999999999999993</c:v>
                </c:pt>
                <c:pt idx="4">
                  <c:v>7.1</c:v>
                </c:pt>
                <c:pt idx="5">
                  <c:v>14.4</c:v>
                </c:pt>
                <c:pt idx="6">
                  <c:v>14.4</c:v>
                </c:pt>
                <c:pt idx="7">
                  <c:v>12.47</c:v>
                </c:pt>
                <c:pt idx="8">
                  <c:v>13.4</c:v>
                </c:pt>
                <c:pt idx="9">
                  <c:v>5.9</c:v>
                </c:pt>
                <c:pt idx="10">
                  <c:v>1.4</c:v>
                </c:pt>
                <c:pt idx="11">
                  <c:v>0</c:v>
                </c:pt>
                <c:pt idx="12">
                  <c:v>0</c:v>
                </c:pt>
              </c:numCache>
            </c:numRef>
          </c:val>
        </c:ser>
        <c:dLbls>
          <c:dLblPos val="outEnd"/>
          <c:showLegendKey val="0"/>
          <c:showVal val="1"/>
          <c:showCatName val="0"/>
          <c:showSerName val="0"/>
          <c:showPercent val="0"/>
          <c:showBubbleSize val="0"/>
        </c:dLbls>
        <c:gapWidth val="75"/>
        <c:overlap val="-30"/>
        <c:axId val="52372608"/>
        <c:axId val="52374144"/>
      </c:barChart>
      <c:catAx>
        <c:axId val="52372608"/>
        <c:scaling>
          <c:orientation val="minMax"/>
        </c:scaling>
        <c:delete val="0"/>
        <c:axPos val="l"/>
        <c:majorTickMark val="out"/>
        <c:minorTickMark val="none"/>
        <c:tickLblPos val="nextTo"/>
        <c:crossAx val="52374144"/>
        <c:crosses val="autoZero"/>
        <c:auto val="1"/>
        <c:lblAlgn val="ctr"/>
        <c:lblOffset val="100"/>
        <c:noMultiLvlLbl val="0"/>
      </c:catAx>
      <c:valAx>
        <c:axId val="52374144"/>
        <c:scaling>
          <c:orientation val="minMax"/>
          <c:max val="30"/>
          <c:min val="0"/>
        </c:scaling>
        <c:delete val="1"/>
        <c:axPos val="b"/>
        <c:numFmt formatCode="0\%" sourceLinked="0"/>
        <c:majorTickMark val="out"/>
        <c:minorTickMark val="none"/>
        <c:tickLblPos val="nextTo"/>
        <c:crossAx val="52372608"/>
        <c:crosses val="autoZero"/>
        <c:crossBetween val="between"/>
        <c:majorUnit val="10"/>
        <c:minorUnit val="10"/>
      </c:valAx>
    </c:plotArea>
    <c:legend>
      <c:legendPos val="r"/>
      <c:layout>
        <c:manualLayout>
          <c:xMode val="edge"/>
          <c:yMode val="edge"/>
          <c:x val="0.67400678853874119"/>
          <c:y val="4.9032328257218601E-2"/>
          <c:w val="0.21353056895285349"/>
          <c:h val="0.12322581168469059"/>
        </c:manualLayout>
      </c:layout>
      <c:overlay val="1"/>
    </c:legend>
    <c:plotVisOnly val="1"/>
    <c:dispBlanksAs val="gap"/>
    <c:showDLblsOverMax val="0"/>
  </c:chart>
  <c:spPr>
    <a:ln w="3175">
      <a:solidFill>
        <a:schemeClr val="bg1">
          <a:lumMod val="50000"/>
        </a:schemeClr>
      </a:solid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0931253785584493E-2"/>
          <c:y val="0.13065500881790404"/>
          <c:w val="0.97838498553065478"/>
          <c:h val="0.60557192180630415"/>
        </c:manualLayout>
      </c:layout>
      <c:barChart>
        <c:barDir val="col"/>
        <c:grouping val="clustered"/>
        <c:varyColors val="0"/>
        <c:ser>
          <c:idx val="0"/>
          <c:order val="0"/>
          <c:tx>
            <c:strRef>
              <c:f>Sheet1!$B$1</c:f>
              <c:strCache>
                <c:ptCount val="1"/>
                <c:pt idx="0">
                  <c:v>2015-16</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Identify as Aboriginal or Torres Strait Islander</c:v>
                </c:pt>
                <c:pt idx="2">
                  <c:v>Culturally and linguistically diverse background</c:v>
                </c:pt>
                <c:pt idx="4">
                  <c:v>Male</c:v>
                </c:pt>
                <c:pt idx="5">
                  <c:v>Female</c:v>
                </c:pt>
                <c:pt idx="6">
                  <c:v>Transgender</c:v>
                </c:pt>
              </c:strCache>
            </c:strRef>
          </c:cat>
          <c:val>
            <c:numRef>
              <c:f>Sheet1!$B$2:$B$8</c:f>
              <c:numCache>
                <c:formatCode>General</c:formatCode>
                <c:ptCount val="7"/>
                <c:pt idx="0">
                  <c:v>1.8</c:v>
                </c:pt>
                <c:pt idx="2">
                  <c:v>3.47</c:v>
                </c:pt>
                <c:pt idx="4">
                  <c:v>61.8</c:v>
                </c:pt>
                <c:pt idx="5">
                  <c:v>38.200000000000003</c:v>
                </c:pt>
                <c:pt idx="6">
                  <c:v>0</c:v>
                </c:pt>
              </c:numCache>
            </c:numRef>
          </c:val>
        </c:ser>
        <c:ser>
          <c:idx val="1"/>
          <c:order val="1"/>
          <c:tx>
            <c:strRef>
              <c:f>Sheet1!$C$1</c:f>
              <c:strCache>
                <c:ptCount val="1"/>
                <c:pt idx="0">
                  <c:v>2016-17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Identify as Aboriginal or Torres Strait Islander</c:v>
                </c:pt>
                <c:pt idx="2">
                  <c:v>Culturally and linguistically diverse background</c:v>
                </c:pt>
                <c:pt idx="4">
                  <c:v>Male</c:v>
                </c:pt>
                <c:pt idx="5">
                  <c:v>Female</c:v>
                </c:pt>
                <c:pt idx="6">
                  <c:v>Transgender</c:v>
                </c:pt>
              </c:strCache>
            </c:strRef>
          </c:cat>
          <c:val>
            <c:numRef>
              <c:f>Sheet1!$C$2:$C$8</c:f>
              <c:numCache>
                <c:formatCode>General</c:formatCode>
                <c:ptCount val="7"/>
                <c:pt idx="0">
                  <c:v>4</c:v>
                </c:pt>
                <c:pt idx="2">
                  <c:v>5.8</c:v>
                </c:pt>
                <c:pt idx="4">
                  <c:v>58.4</c:v>
                </c:pt>
                <c:pt idx="5">
                  <c:v>41.6</c:v>
                </c:pt>
                <c:pt idx="6">
                  <c:v>0</c:v>
                </c:pt>
              </c:numCache>
            </c:numRef>
          </c:val>
        </c:ser>
        <c:ser>
          <c:idx val="2"/>
          <c:order val="2"/>
          <c:tx>
            <c:strRef>
              <c:f>Sheet1!$D$1</c:f>
              <c:strCache>
                <c:ptCount val="1"/>
                <c:pt idx="0">
                  <c:v>2017-18</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Identify as Aboriginal or Torres Strait Islander</c:v>
                </c:pt>
                <c:pt idx="2">
                  <c:v>Culturally and linguistically diverse background</c:v>
                </c:pt>
                <c:pt idx="4">
                  <c:v>Male</c:v>
                </c:pt>
                <c:pt idx="5">
                  <c:v>Female</c:v>
                </c:pt>
                <c:pt idx="6">
                  <c:v>Transgender</c:v>
                </c:pt>
              </c:strCache>
            </c:strRef>
          </c:cat>
          <c:val>
            <c:numRef>
              <c:f>Sheet1!$D$2:$D$8</c:f>
              <c:numCache>
                <c:formatCode>General</c:formatCode>
                <c:ptCount val="7"/>
                <c:pt idx="0">
                  <c:v>3.6</c:v>
                </c:pt>
                <c:pt idx="2">
                  <c:v>5.7</c:v>
                </c:pt>
                <c:pt idx="4">
                  <c:v>58.9</c:v>
                </c:pt>
                <c:pt idx="5">
                  <c:v>41.1</c:v>
                </c:pt>
                <c:pt idx="6">
                  <c:v>0</c:v>
                </c:pt>
              </c:numCache>
            </c:numRef>
          </c:val>
        </c:ser>
        <c:dLbls>
          <c:dLblPos val="outEnd"/>
          <c:showLegendKey val="0"/>
          <c:showVal val="1"/>
          <c:showCatName val="0"/>
          <c:showSerName val="0"/>
          <c:showPercent val="0"/>
          <c:showBubbleSize val="0"/>
        </c:dLbls>
        <c:gapWidth val="55"/>
        <c:overlap val="-20"/>
        <c:axId val="52397568"/>
        <c:axId val="52399104"/>
      </c:barChart>
      <c:catAx>
        <c:axId val="52397568"/>
        <c:scaling>
          <c:orientation val="minMax"/>
        </c:scaling>
        <c:delete val="0"/>
        <c:axPos val="b"/>
        <c:majorTickMark val="out"/>
        <c:minorTickMark val="none"/>
        <c:tickLblPos val="nextTo"/>
        <c:crossAx val="52399104"/>
        <c:crosses val="autoZero"/>
        <c:auto val="1"/>
        <c:lblAlgn val="ctr"/>
        <c:lblOffset val="100"/>
        <c:noMultiLvlLbl val="0"/>
      </c:catAx>
      <c:valAx>
        <c:axId val="52399104"/>
        <c:scaling>
          <c:orientation val="minMax"/>
        </c:scaling>
        <c:delete val="1"/>
        <c:axPos val="l"/>
        <c:numFmt formatCode="0\%" sourceLinked="0"/>
        <c:majorTickMark val="out"/>
        <c:minorTickMark val="none"/>
        <c:tickLblPos val="nextTo"/>
        <c:crossAx val="52397568"/>
        <c:crosses val="autoZero"/>
        <c:crossBetween val="between"/>
      </c:valAx>
    </c:plotArea>
    <c:legend>
      <c:legendPos val="t"/>
      <c:overlay val="0"/>
    </c:legend>
    <c:plotVisOnly val="1"/>
    <c:dispBlanksAs val="gap"/>
    <c:showDLblsOverMax val="0"/>
  </c:chart>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290441347090945"/>
          <c:y val="2.422948646570694E-2"/>
          <c:w val="0.59706016119301408"/>
          <c:h val="0.95367378108561573"/>
        </c:manualLayout>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dLbl>
              <c:idx val="0"/>
              <c:tx>
                <c:rich>
                  <a:bodyPr/>
                  <a:lstStyle/>
                  <a:p>
                    <a:r>
                      <a:rPr lang="en-US"/>
                      <a:t>&lt;1%</a:t>
                    </a:r>
                  </a:p>
                </c:rich>
              </c:tx>
              <c:dLblPos val="outEnd"/>
              <c:showLegendKey val="0"/>
              <c:showVal val="1"/>
              <c:showCatName val="0"/>
              <c:showSerName val="0"/>
              <c:showPercent val="0"/>
              <c:showBubbleSize val="0"/>
            </c:dLbl>
            <c:dLbl>
              <c:idx val="1"/>
              <c:tx>
                <c:rich>
                  <a:bodyPr/>
                  <a:lstStyle/>
                  <a:p>
                    <a:r>
                      <a:rPr lang="en-US"/>
                      <a:t>&lt;1%</a:t>
                    </a:r>
                  </a:p>
                </c:rich>
              </c:tx>
              <c:dLblPos val="outEnd"/>
              <c:showLegendKey val="0"/>
              <c:showVal val="1"/>
              <c:showCatName val="0"/>
              <c:showSerName val="0"/>
              <c:showPercent val="0"/>
              <c:showBubbleSize val="0"/>
            </c:dLbl>
            <c:dLbl>
              <c:idx val="2"/>
              <c:tx>
                <c:rich>
                  <a:bodyPr/>
                  <a:lstStyle/>
                  <a:p>
                    <a:r>
                      <a:rPr lang="en-US"/>
                      <a:t>5%</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Sheet1!$A$2:$A$12</c:f>
              <c:strCache>
                <c:ptCount val="11"/>
                <c:pt idx="0">
                  <c:v>Other disability</c:v>
                </c:pt>
                <c:pt idx="1">
                  <c:v>Specific learning/Attention Deficit Disorder</c:v>
                </c:pt>
                <c:pt idx="2">
                  <c:v>Developmental delay</c:v>
                </c:pt>
                <c:pt idx="3">
                  <c:v>Not sure</c:v>
                </c:pt>
                <c:pt idx="4">
                  <c:v>Sensory and speech</c:v>
                </c:pt>
                <c:pt idx="5">
                  <c:v>Psychiatric</c:v>
                </c:pt>
                <c:pt idx="6">
                  <c:v>Acquired Brain Injury</c:v>
                </c:pt>
                <c:pt idx="7">
                  <c:v>Neurological</c:v>
                </c:pt>
                <c:pt idx="8">
                  <c:v>Autism</c:v>
                </c:pt>
                <c:pt idx="9">
                  <c:v>Physical</c:v>
                </c:pt>
                <c:pt idx="10">
                  <c:v>Intellectual</c:v>
                </c:pt>
              </c:strCache>
            </c:strRef>
          </c:cat>
          <c:val>
            <c:numRef>
              <c:f>Sheet1!$B$2:$B$12</c:f>
              <c:numCache>
                <c:formatCode>0</c:formatCode>
                <c:ptCount val="11"/>
                <c:pt idx="0">
                  <c:v>0.26954177897574128</c:v>
                </c:pt>
                <c:pt idx="1">
                  <c:v>0.3</c:v>
                </c:pt>
                <c:pt idx="2">
                  <c:v>4.5822102425876015</c:v>
                </c:pt>
                <c:pt idx="3">
                  <c:v>4.0431266846361185</c:v>
                </c:pt>
                <c:pt idx="4">
                  <c:v>9.6999999999999993</c:v>
                </c:pt>
                <c:pt idx="5">
                  <c:v>2.9649595687331538</c:v>
                </c:pt>
                <c:pt idx="6">
                  <c:v>6.7385444743935308</c:v>
                </c:pt>
                <c:pt idx="7">
                  <c:v>8.355795148247978</c:v>
                </c:pt>
                <c:pt idx="8">
                  <c:v>24.528301886792452</c:v>
                </c:pt>
                <c:pt idx="9">
                  <c:v>22.911051212938006</c:v>
                </c:pt>
                <c:pt idx="10">
                  <c:v>43.39622641509434</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Other disability</c:v>
                </c:pt>
                <c:pt idx="1">
                  <c:v>Specific learning/Attention Deficit Disorder</c:v>
                </c:pt>
                <c:pt idx="2">
                  <c:v>Developmental delay</c:v>
                </c:pt>
                <c:pt idx="3">
                  <c:v>Not sure</c:v>
                </c:pt>
                <c:pt idx="4">
                  <c:v>Sensory and speech</c:v>
                </c:pt>
                <c:pt idx="5">
                  <c:v>Psychiatric</c:v>
                </c:pt>
                <c:pt idx="6">
                  <c:v>Acquired Brain Injury</c:v>
                </c:pt>
                <c:pt idx="7">
                  <c:v>Neurological</c:v>
                </c:pt>
                <c:pt idx="8">
                  <c:v>Autism</c:v>
                </c:pt>
                <c:pt idx="9">
                  <c:v>Physical</c:v>
                </c:pt>
                <c:pt idx="10">
                  <c:v>Intellectual</c:v>
                </c:pt>
              </c:strCache>
            </c:strRef>
          </c:cat>
          <c:val>
            <c:numRef>
              <c:f>Sheet1!$C$2:$C$12</c:f>
              <c:numCache>
                <c:formatCode>###0</c:formatCode>
                <c:ptCount val="11"/>
                <c:pt idx="0">
                  <c:v>3.3</c:v>
                </c:pt>
                <c:pt idx="1">
                  <c:v>0.7</c:v>
                </c:pt>
                <c:pt idx="2">
                  <c:v>5</c:v>
                </c:pt>
                <c:pt idx="3">
                  <c:v>2.4</c:v>
                </c:pt>
                <c:pt idx="4">
                  <c:v>5.6</c:v>
                </c:pt>
                <c:pt idx="5">
                  <c:v>4.3</c:v>
                </c:pt>
                <c:pt idx="6">
                  <c:v>2.2000000000000002</c:v>
                </c:pt>
                <c:pt idx="7">
                  <c:v>8.6999999999999993</c:v>
                </c:pt>
                <c:pt idx="8">
                  <c:v>23.2</c:v>
                </c:pt>
                <c:pt idx="9">
                  <c:v>28.2</c:v>
                </c:pt>
                <c:pt idx="10">
                  <c:v>36.700000000000003</c:v>
                </c:pt>
              </c:numCache>
            </c:numRef>
          </c:val>
        </c:ser>
        <c:ser>
          <c:idx val="2"/>
          <c:order val="2"/>
          <c:tx>
            <c:strRef>
              <c:f>Sheet1!$D$1</c:f>
              <c:strCache>
                <c:ptCount val="1"/>
                <c:pt idx="0">
                  <c:v>2017-18 (n=425)</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Sheet1!$A$2:$A$12</c:f>
              <c:strCache>
                <c:ptCount val="11"/>
                <c:pt idx="0">
                  <c:v>Other disability</c:v>
                </c:pt>
                <c:pt idx="1">
                  <c:v>Specific learning/Attention Deficit Disorder</c:v>
                </c:pt>
                <c:pt idx="2">
                  <c:v>Developmental delay</c:v>
                </c:pt>
                <c:pt idx="3">
                  <c:v>Not sure</c:v>
                </c:pt>
                <c:pt idx="4">
                  <c:v>Sensory and speech</c:v>
                </c:pt>
                <c:pt idx="5">
                  <c:v>Psychiatric</c:v>
                </c:pt>
                <c:pt idx="6">
                  <c:v>Acquired Brain Injury</c:v>
                </c:pt>
                <c:pt idx="7">
                  <c:v>Neurological</c:v>
                </c:pt>
                <c:pt idx="8">
                  <c:v>Autism</c:v>
                </c:pt>
                <c:pt idx="9">
                  <c:v>Physical</c:v>
                </c:pt>
                <c:pt idx="10">
                  <c:v>Intellectual</c:v>
                </c:pt>
              </c:strCache>
            </c:strRef>
          </c:cat>
          <c:val>
            <c:numRef>
              <c:f>Sheet1!$D$2:$D$12</c:f>
              <c:numCache>
                <c:formatCode>###0</c:formatCode>
                <c:ptCount val="11"/>
                <c:pt idx="0">
                  <c:v>3.3</c:v>
                </c:pt>
                <c:pt idx="1">
                  <c:v>0.9</c:v>
                </c:pt>
                <c:pt idx="2">
                  <c:v>3.5</c:v>
                </c:pt>
                <c:pt idx="3">
                  <c:v>4.2</c:v>
                </c:pt>
                <c:pt idx="4">
                  <c:v>4.2</c:v>
                </c:pt>
                <c:pt idx="5">
                  <c:v>4.9000000000000004</c:v>
                </c:pt>
                <c:pt idx="6">
                  <c:v>8.6999999999999993</c:v>
                </c:pt>
                <c:pt idx="7">
                  <c:v>11.8</c:v>
                </c:pt>
                <c:pt idx="8">
                  <c:v>19.100000000000001</c:v>
                </c:pt>
                <c:pt idx="9">
                  <c:v>21.6</c:v>
                </c:pt>
                <c:pt idx="10">
                  <c:v>36.47</c:v>
                </c:pt>
              </c:numCache>
            </c:numRef>
          </c:val>
        </c:ser>
        <c:dLbls>
          <c:dLblPos val="outEnd"/>
          <c:showLegendKey val="0"/>
          <c:showVal val="1"/>
          <c:showCatName val="0"/>
          <c:showSerName val="0"/>
          <c:showPercent val="0"/>
          <c:showBubbleSize val="0"/>
        </c:dLbls>
        <c:gapWidth val="60"/>
        <c:overlap val="-15"/>
        <c:axId val="52553984"/>
        <c:axId val="55713792"/>
      </c:barChart>
      <c:catAx>
        <c:axId val="52553984"/>
        <c:scaling>
          <c:orientation val="minMax"/>
        </c:scaling>
        <c:delete val="0"/>
        <c:axPos val="l"/>
        <c:majorTickMark val="out"/>
        <c:minorTickMark val="none"/>
        <c:tickLblPos val="nextTo"/>
        <c:crossAx val="55713792"/>
        <c:crosses val="autoZero"/>
        <c:auto val="1"/>
        <c:lblAlgn val="ctr"/>
        <c:lblOffset val="100"/>
        <c:noMultiLvlLbl val="0"/>
      </c:catAx>
      <c:valAx>
        <c:axId val="55713792"/>
        <c:scaling>
          <c:orientation val="minMax"/>
          <c:max val="50"/>
          <c:min val="0"/>
        </c:scaling>
        <c:delete val="1"/>
        <c:axPos val="b"/>
        <c:numFmt formatCode="0\%" sourceLinked="0"/>
        <c:majorTickMark val="out"/>
        <c:minorTickMark val="none"/>
        <c:tickLblPos val="nextTo"/>
        <c:crossAx val="52553984"/>
        <c:crosses val="autoZero"/>
        <c:crossBetween val="between"/>
        <c:majorUnit val="10"/>
        <c:minorUnit val="2"/>
      </c:valAx>
    </c:plotArea>
    <c:legend>
      <c:legendPos val="r"/>
      <c:layout>
        <c:manualLayout>
          <c:xMode val="edge"/>
          <c:yMode val="edge"/>
          <c:x val="0.71105652068540559"/>
          <c:y val="0.47731197779382056"/>
          <c:w val="0.2143695888701535"/>
          <c:h val="0.12888507118428377"/>
        </c:manualLayout>
      </c:layout>
      <c:overlay val="0"/>
    </c:legend>
    <c:plotVisOnly val="1"/>
    <c:dispBlanksAs val="gap"/>
    <c:showDLblsOverMax val="0"/>
  </c:chart>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08597478545175E-2"/>
          <c:y val="5.3848655431228992E-2"/>
          <c:w val="0.96183750651271738"/>
          <c:h val="0.81368231130630342"/>
        </c:manualLayout>
      </c:layout>
      <c:barChart>
        <c:barDir val="col"/>
        <c:grouping val="clustered"/>
        <c:varyColors val="0"/>
        <c:ser>
          <c:idx val="0"/>
          <c:order val="0"/>
          <c:tx>
            <c:strRef>
              <c:f>Sheet1!$B$1</c:f>
              <c:strCache>
                <c:ptCount val="1"/>
                <c:pt idx="0">
                  <c:v>2015-16 (n=2,203)</c:v>
                </c:pt>
              </c:strCache>
            </c:strRef>
          </c:tx>
          <c:spPr>
            <a:solidFill>
              <a:srgbClr val="2487C4"/>
            </a:solidFill>
            <a:ln>
              <a:noFill/>
            </a:ln>
          </c:spPr>
          <c:invertIfNegative val="0"/>
          <c:dLbls>
            <c:numFmt formatCode="0\%" sourceLinked="0"/>
            <c:dLblPos val="outEnd"/>
            <c:showLegendKey val="0"/>
            <c:showVal val="1"/>
            <c:showCatName val="0"/>
            <c:showSerName val="0"/>
            <c:showPercent val="0"/>
            <c:showBubbleSize val="0"/>
            <c:showLeaderLines val="0"/>
          </c:dLbls>
          <c:cat>
            <c:strRef>
              <c:f>Sheet1!$A$2:$A$7</c:f>
              <c:strCache>
                <c:ptCount val="6"/>
                <c:pt idx="0">
                  <c:v>Telephone</c:v>
                </c:pt>
                <c:pt idx="1">
                  <c:v>Complaint form</c:v>
                </c:pt>
                <c:pt idx="2">
                  <c:v>E-mail</c:v>
                </c:pt>
                <c:pt idx="3">
                  <c:v>Letter</c:v>
                </c:pt>
                <c:pt idx="4">
                  <c:v>HaDSCO website</c:v>
                </c:pt>
                <c:pt idx="5">
                  <c:v>Other</c:v>
                </c:pt>
              </c:strCache>
            </c:strRef>
          </c:cat>
          <c:val>
            <c:numRef>
              <c:f>Sheet1!$B$2:$B$7</c:f>
              <c:numCache>
                <c:formatCode>###0.0</c:formatCode>
                <c:ptCount val="6"/>
                <c:pt idx="0">
                  <c:v>81.900000000000006</c:v>
                </c:pt>
                <c:pt idx="1">
                  <c:v>5.4</c:v>
                </c:pt>
                <c:pt idx="2">
                  <c:v>6.2</c:v>
                </c:pt>
                <c:pt idx="3">
                  <c:v>3.4</c:v>
                </c:pt>
                <c:pt idx="4">
                  <c:v>2.4900000000000002</c:v>
                </c:pt>
                <c:pt idx="5" formatCode="####.0">
                  <c:v>0.6</c:v>
                </c:pt>
              </c:numCache>
            </c:numRef>
          </c:val>
        </c:ser>
        <c:ser>
          <c:idx val="1"/>
          <c:order val="1"/>
          <c:tx>
            <c:strRef>
              <c:f>Sheet1!$C$1</c:f>
              <c:strCache>
                <c:ptCount val="1"/>
                <c:pt idx="0">
                  <c:v>2016-17 (n=2,288)</c:v>
                </c:pt>
              </c:strCache>
            </c:strRef>
          </c:tx>
          <c:spPr>
            <a:solidFill>
              <a:srgbClr val="04425E"/>
            </a:solidFill>
          </c:spPr>
          <c:invertIfNegative val="0"/>
          <c:dLbls>
            <c:numFmt formatCode="0\%" sourceLinked="0"/>
            <c:dLblPos val="outEnd"/>
            <c:showLegendKey val="0"/>
            <c:showVal val="1"/>
            <c:showCatName val="0"/>
            <c:showSerName val="0"/>
            <c:showPercent val="0"/>
            <c:showBubbleSize val="0"/>
            <c:showLeaderLines val="0"/>
          </c:dLbls>
          <c:cat>
            <c:strRef>
              <c:f>Sheet1!$A$2:$A$7</c:f>
              <c:strCache>
                <c:ptCount val="6"/>
                <c:pt idx="0">
                  <c:v>Telephone</c:v>
                </c:pt>
                <c:pt idx="1">
                  <c:v>Complaint form</c:v>
                </c:pt>
                <c:pt idx="2">
                  <c:v>E-mail</c:v>
                </c:pt>
                <c:pt idx="3">
                  <c:v>Letter</c:v>
                </c:pt>
                <c:pt idx="4">
                  <c:v>HaDSCO website</c:v>
                </c:pt>
                <c:pt idx="5">
                  <c:v>Other</c:v>
                </c:pt>
              </c:strCache>
            </c:strRef>
          </c:cat>
          <c:val>
            <c:numRef>
              <c:f>Sheet1!$C$2:$C$7</c:f>
              <c:numCache>
                <c:formatCode>###0.0</c:formatCode>
                <c:ptCount val="6"/>
                <c:pt idx="0">
                  <c:v>82</c:v>
                </c:pt>
                <c:pt idx="1">
                  <c:v>6.5122377622377616</c:v>
                </c:pt>
                <c:pt idx="2">
                  <c:v>4.72027972027972</c:v>
                </c:pt>
                <c:pt idx="3">
                  <c:v>3.88986013986014</c:v>
                </c:pt>
                <c:pt idx="4">
                  <c:v>1.8356643356643356</c:v>
                </c:pt>
                <c:pt idx="5" formatCode="####.0">
                  <c:v>0.91783216783216781</c:v>
                </c:pt>
              </c:numCache>
            </c:numRef>
          </c:val>
        </c:ser>
        <c:ser>
          <c:idx val="2"/>
          <c:order val="2"/>
          <c:tx>
            <c:strRef>
              <c:f>Sheet1!$D$1</c:f>
              <c:strCache>
                <c:ptCount val="1"/>
                <c:pt idx="0">
                  <c:v>2017-18 (n=2,272)</c:v>
                </c:pt>
              </c:strCache>
            </c:strRef>
          </c:tx>
          <c:spPr>
            <a:solidFill>
              <a:schemeClr val="bg1">
                <a:lumMod val="75000"/>
              </a:schemeClr>
            </a:solidFill>
            <a:ln>
              <a:noFill/>
            </a:ln>
          </c:spPr>
          <c:invertIfNegative val="0"/>
          <c:dLbls>
            <c:numFmt formatCode="0\%" sourceLinked="0"/>
            <c:dLblPos val="outEnd"/>
            <c:showLegendKey val="0"/>
            <c:showVal val="1"/>
            <c:showCatName val="0"/>
            <c:showSerName val="0"/>
            <c:showPercent val="0"/>
            <c:showBubbleSize val="0"/>
            <c:showLeaderLines val="0"/>
          </c:dLbls>
          <c:cat>
            <c:strRef>
              <c:f>Sheet1!$A$2:$A$7</c:f>
              <c:strCache>
                <c:ptCount val="6"/>
                <c:pt idx="0">
                  <c:v>Telephone</c:v>
                </c:pt>
                <c:pt idx="1">
                  <c:v>Complaint form</c:v>
                </c:pt>
                <c:pt idx="2">
                  <c:v>E-mail</c:v>
                </c:pt>
                <c:pt idx="3">
                  <c:v>Letter</c:v>
                </c:pt>
                <c:pt idx="4">
                  <c:v>HaDSCO website</c:v>
                </c:pt>
                <c:pt idx="5">
                  <c:v>Other</c:v>
                </c:pt>
              </c:strCache>
            </c:strRef>
          </c:cat>
          <c:val>
            <c:numRef>
              <c:f>Sheet1!$D$2:$D$7</c:f>
              <c:numCache>
                <c:formatCode>###0.0</c:formatCode>
                <c:ptCount val="6"/>
                <c:pt idx="0">
                  <c:v>79</c:v>
                </c:pt>
                <c:pt idx="1">
                  <c:v>9.9</c:v>
                </c:pt>
                <c:pt idx="2">
                  <c:v>5.3</c:v>
                </c:pt>
                <c:pt idx="3">
                  <c:v>4</c:v>
                </c:pt>
                <c:pt idx="4">
                  <c:v>1</c:v>
                </c:pt>
                <c:pt idx="5" formatCode="####.0">
                  <c:v>0.8</c:v>
                </c:pt>
              </c:numCache>
            </c:numRef>
          </c:val>
        </c:ser>
        <c:dLbls>
          <c:dLblPos val="outEnd"/>
          <c:showLegendKey val="0"/>
          <c:showVal val="1"/>
          <c:showCatName val="0"/>
          <c:showSerName val="0"/>
          <c:showPercent val="0"/>
          <c:showBubbleSize val="0"/>
        </c:dLbls>
        <c:gapWidth val="100"/>
        <c:overlap val="-20"/>
        <c:axId val="142460032"/>
        <c:axId val="142838016"/>
      </c:barChart>
      <c:catAx>
        <c:axId val="142460032"/>
        <c:scaling>
          <c:orientation val="minMax"/>
        </c:scaling>
        <c:delete val="0"/>
        <c:axPos val="b"/>
        <c:majorTickMark val="out"/>
        <c:minorTickMark val="none"/>
        <c:tickLblPos val="nextTo"/>
        <c:crossAx val="142838016"/>
        <c:crosses val="autoZero"/>
        <c:auto val="1"/>
        <c:lblAlgn val="ctr"/>
        <c:lblOffset val="100"/>
        <c:noMultiLvlLbl val="0"/>
      </c:catAx>
      <c:valAx>
        <c:axId val="142838016"/>
        <c:scaling>
          <c:orientation val="minMax"/>
          <c:max val="100"/>
          <c:min val="0"/>
        </c:scaling>
        <c:delete val="1"/>
        <c:axPos val="l"/>
        <c:numFmt formatCode="0\%" sourceLinked="0"/>
        <c:majorTickMark val="out"/>
        <c:minorTickMark val="none"/>
        <c:tickLblPos val="nextTo"/>
        <c:crossAx val="142460032"/>
        <c:crosses val="autoZero"/>
        <c:crossBetween val="between"/>
        <c:majorUnit val="20"/>
        <c:minorUnit val="2"/>
      </c:valAx>
    </c:plotArea>
    <c:legend>
      <c:legendPos val="t"/>
      <c:layout/>
      <c:overlay val="0"/>
    </c:legend>
    <c:plotVisOnly val="1"/>
    <c:dispBlanksAs val="gap"/>
    <c:showDLblsOverMax val="0"/>
  </c:chart>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572747850963075"/>
          <c:y val="2.3099221972253468E-2"/>
          <c:w val="0.61407898086813217"/>
          <c:h val="0.95799329771278585"/>
        </c:manualLayout>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Not collected</c:v>
                </c:pt>
                <c:pt idx="1">
                  <c:v>Participation and inclusion</c:v>
                </c:pt>
                <c:pt idx="2">
                  <c:v>Service access</c:v>
                </c:pt>
                <c:pt idx="3">
                  <c:v>Individual outcomes</c:v>
                </c:pt>
                <c:pt idx="4">
                  <c:v>Rights</c:v>
                </c:pt>
                <c:pt idx="5">
                  <c:v>Feedback and complaints</c:v>
                </c:pt>
                <c:pt idx="6">
                  <c:v>Service management</c:v>
                </c:pt>
              </c:strCache>
            </c:strRef>
          </c:cat>
          <c:val>
            <c:numRef>
              <c:f>Sheet1!$B$2:$B$8</c:f>
              <c:numCache>
                <c:formatCode>General</c:formatCode>
                <c:ptCount val="7"/>
                <c:pt idx="0">
                  <c:v>1.3477088948787064</c:v>
                </c:pt>
                <c:pt idx="1">
                  <c:v>10.781671159029651</c:v>
                </c:pt>
                <c:pt idx="2">
                  <c:v>9.703504043126685</c:v>
                </c:pt>
                <c:pt idx="3">
                  <c:v>28.032345013477091</c:v>
                </c:pt>
                <c:pt idx="4">
                  <c:v>25.876010781671159</c:v>
                </c:pt>
                <c:pt idx="5">
                  <c:v>41.509433962264154</c:v>
                </c:pt>
                <c:pt idx="6">
                  <c:v>42.857142857142854</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Not collected</c:v>
                </c:pt>
                <c:pt idx="1">
                  <c:v>Participation and inclusion</c:v>
                </c:pt>
                <c:pt idx="2">
                  <c:v>Service access</c:v>
                </c:pt>
                <c:pt idx="3">
                  <c:v>Individual outcomes</c:v>
                </c:pt>
                <c:pt idx="4">
                  <c:v>Rights</c:v>
                </c:pt>
                <c:pt idx="5">
                  <c:v>Feedback and complaints</c:v>
                </c:pt>
                <c:pt idx="6">
                  <c:v>Service management</c:v>
                </c:pt>
              </c:strCache>
            </c:strRef>
          </c:cat>
          <c:val>
            <c:numRef>
              <c:f>Sheet1!$C$2:$C$8</c:f>
              <c:numCache>
                <c:formatCode>###0</c:formatCode>
                <c:ptCount val="7"/>
                <c:pt idx="0">
                  <c:v>2</c:v>
                </c:pt>
                <c:pt idx="1">
                  <c:v>10</c:v>
                </c:pt>
                <c:pt idx="2">
                  <c:v>10.8</c:v>
                </c:pt>
                <c:pt idx="3">
                  <c:v>27.5</c:v>
                </c:pt>
                <c:pt idx="4">
                  <c:v>24.9</c:v>
                </c:pt>
                <c:pt idx="5">
                  <c:v>33</c:v>
                </c:pt>
                <c:pt idx="6">
                  <c:v>37.299999999999997</c:v>
                </c:pt>
              </c:numCache>
            </c:numRef>
          </c:val>
        </c:ser>
        <c:ser>
          <c:idx val="2"/>
          <c:order val="2"/>
          <c:tx>
            <c:strRef>
              <c:f>Sheet1!$D$1</c:f>
              <c:strCache>
                <c:ptCount val="1"/>
                <c:pt idx="0">
                  <c:v>2017-18 (n=425)</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Not collected</c:v>
                </c:pt>
                <c:pt idx="1">
                  <c:v>Participation and inclusion</c:v>
                </c:pt>
                <c:pt idx="2">
                  <c:v>Service access</c:v>
                </c:pt>
                <c:pt idx="3">
                  <c:v>Individual outcomes</c:v>
                </c:pt>
                <c:pt idx="4">
                  <c:v>Rights</c:v>
                </c:pt>
                <c:pt idx="5">
                  <c:v>Feedback and complaints</c:v>
                </c:pt>
                <c:pt idx="6">
                  <c:v>Service management</c:v>
                </c:pt>
              </c:strCache>
            </c:strRef>
          </c:cat>
          <c:val>
            <c:numRef>
              <c:f>Sheet1!$D$2:$D$8</c:f>
              <c:numCache>
                <c:formatCode>###0</c:formatCode>
                <c:ptCount val="7"/>
                <c:pt idx="0">
                  <c:v>2.8</c:v>
                </c:pt>
                <c:pt idx="1">
                  <c:v>6.1</c:v>
                </c:pt>
                <c:pt idx="2">
                  <c:v>10.6</c:v>
                </c:pt>
                <c:pt idx="3">
                  <c:v>21.6</c:v>
                </c:pt>
                <c:pt idx="4">
                  <c:v>25.4</c:v>
                </c:pt>
                <c:pt idx="5">
                  <c:v>28</c:v>
                </c:pt>
                <c:pt idx="6">
                  <c:v>35.799999999999997</c:v>
                </c:pt>
              </c:numCache>
            </c:numRef>
          </c:val>
        </c:ser>
        <c:dLbls>
          <c:dLblPos val="outEnd"/>
          <c:showLegendKey val="0"/>
          <c:showVal val="1"/>
          <c:showCatName val="0"/>
          <c:showSerName val="0"/>
          <c:showPercent val="0"/>
          <c:showBubbleSize val="0"/>
        </c:dLbls>
        <c:gapWidth val="60"/>
        <c:overlap val="-15"/>
        <c:axId val="55724288"/>
        <c:axId val="55730176"/>
      </c:barChart>
      <c:catAx>
        <c:axId val="55724288"/>
        <c:scaling>
          <c:orientation val="minMax"/>
        </c:scaling>
        <c:delete val="0"/>
        <c:axPos val="l"/>
        <c:majorTickMark val="out"/>
        <c:minorTickMark val="none"/>
        <c:tickLblPos val="nextTo"/>
        <c:crossAx val="55730176"/>
        <c:crosses val="autoZero"/>
        <c:auto val="1"/>
        <c:lblAlgn val="ctr"/>
        <c:lblOffset val="100"/>
        <c:noMultiLvlLbl val="0"/>
      </c:catAx>
      <c:valAx>
        <c:axId val="55730176"/>
        <c:scaling>
          <c:orientation val="minMax"/>
          <c:max val="50"/>
          <c:min val="0"/>
        </c:scaling>
        <c:delete val="1"/>
        <c:axPos val="b"/>
        <c:numFmt formatCode="0\%" sourceLinked="0"/>
        <c:majorTickMark val="out"/>
        <c:minorTickMark val="none"/>
        <c:tickLblPos val="nextTo"/>
        <c:crossAx val="55724288"/>
        <c:crosses val="autoZero"/>
        <c:crossBetween val="between"/>
        <c:majorUnit val="10"/>
        <c:minorUnit val="2"/>
      </c:valAx>
    </c:plotArea>
    <c:legend>
      <c:legendPos val="r"/>
      <c:layout>
        <c:manualLayout>
          <c:xMode val="edge"/>
          <c:yMode val="edge"/>
          <c:x val="0.67846259958245947"/>
          <c:y val="0.69546236407949003"/>
          <c:w val="0.2122692070898545"/>
          <c:h val="0.15235025309336334"/>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271153951222405"/>
          <c:y val="1.9817887228788883E-2"/>
          <c:w val="0.48709478173983983"/>
          <c:h val="0.95635965777626319"/>
        </c:manualLayout>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dLbl>
              <c:idx val="0"/>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Sheet1!$A$2:$A$9</c:f>
              <c:strCache>
                <c:ptCount val="8"/>
                <c:pt idx="0">
                  <c:v>Unsure</c:v>
                </c:pt>
                <c:pt idx="1">
                  <c:v>Other support</c:v>
                </c:pt>
                <c:pt idx="2">
                  <c:v>Employment</c:v>
                </c:pt>
                <c:pt idx="3">
                  <c:v>Advocacy, information and alternative forms of communication</c:v>
                </c:pt>
                <c:pt idx="4">
                  <c:v>Respite services</c:v>
                </c:pt>
                <c:pt idx="5">
                  <c:v>Community access</c:v>
                </c:pt>
                <c:pt idx="6">
                  <c:v>Community support</c:v>
                </c:pt>
                <c:pt idx="7">
                  <c:v>Accommodation support</c:v>
                </c:pt>
              </c:strCache>
            </c:strRef>
          </c:cat>
          <c:val>
            <c:numRef>
              <c:f>Sheet1!$B$2:$B$9</c:f>
              <c:numCache>
                <c:formatCode>###0</c:formatCode>
                <c:ptCount val="8"/>
                <c:pt idx="0">
                  <c:v>0.2</c:v>
                </c:pt>
                <c:pt idx="1">
                  <c:v>6.3</c:v>
                </c:pt>
                <c:pt idx="2">
                  <c:v>1.2</c:v>
                </c:pt>
                <c:pt idx="3">
                  <c:v>3.8</c:v>
                </c:pt>
                <c:pt idx="4">
                  <c:v>11.1</c:v>
                </c:pt>
                <c:pt idx="5">
                  <c:v>16.8</c:v>
                </c:pt>
                <c:pt idx="6">
                  <c:v>27.2</c:v>
                </c:pt>
                <c:pt idx="7">
                  <c:v>46.2</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Sheet1!$A$2:$A$9</c:f>
              <c:strCache>
                <c:ptCount val="8"/>
                <c:pt idx="0">
                  <c:v>Unsure</c:v>
                </c:pt>
                <c:pt idx="1">
                  <c:v>Other support</c:v>
                </c:pt>
                <c:pt idx="2">
                  <c:v>Employment</c:v>
                </c:pt>
                <c:pt idx="3">
                  <c:v>Advocacy, information and alternative forms of communication</c:v>
                </c:pt>
                <c:pt idx="4">
                  <c:v>Respite services</c:v>
                </c:pt>
                <c:pt idx="5">
                  <c:v>Community access</c:v>
                </c:pt>
                <c:pt idx="6">
                  <c:v>Community support</c:v>
                </c:pt>
                <c:pt idx="7">
                  <c:v>Accommodation support</c:v>
                </c:pt>
              </c:strCache>
            </c:strRef>
          </c:cat>
          <c:val>
            <c:numRef>
              <c:f>Sheet1!$C$2:$C$9</c:f>
              <c:numCache>
                <c:formatCode>###0</c:formatCode>
                <c:ptCount val="8"/>
                <c:pt idx="0">
                  <c:v>0.7</c:v>
                </c:pt>
                <c:pt idx="1">
                  <c:v>3.1</c:v>
                </c:pt>
                <c:pt idx="2">
                  <c:v>1.1000000000000001</c:v>
                </c:pt>
                <c:pt idx="3">
                  <c:v>4.2</c:v>
                </c:pt>
                <c:pt idx="4">
                  <c:v>15.8</c:v>
                </c:pt>
                <c:pt idx="5">
                  <c:v>23.2</c:v>
                </c:pt>
                <c:pt idx="6">
                  <c:v>28.5</c:v>
                </c:pt>
                <c:pt idx="7">
                  <c:v>37.700000000000003</c:v>
                </c:pt>
              </c:numCache>
            </c:numRef>
          </c:val>
        </c:ser>
        <c:ser>
          <c:idx val="2"/>
          <c:order val="2"/>
          <c:tx>
            <c:strRef>
              <c:f>Sheet1!$D$1</c:f>
              <c:strCache>
                <c:ptCount val="1"/>
                <c:pt idx="0">
                  <c:v>2017-18 (n=425)</c:v>
                </c:pt>
              </c:strCache>
            </c:strRef>
          </c:tx>
          <c:spPr>
            <a:solidFill>
              <a:schemeClr val="bg1">
                <a:lumMod val="75000"/>
              </a:schemeClr>
            </a:solidFill>
          </c:spPr>
          <c:invertIfNegative val="0"/>
          <c:dLbls>
            <c:dLbl>
              <c:idx val="2"/>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Sheet1!$A$2:$A$9</c:f>
              <c:strCache>
                <c:ptCount val="8"/>
                <c:pt idx="0">
                  <c:v>Unsure</c:v>
                </c:pt>
                <c:pt idx="1">
                  <c:v>Other support</c:v>
                </c:pt>
                <c:pt idx="2">
                  <c:v>Employment</c:v>
                </c:pt>
                <c:pt idx="3">
                  <c:v>Advocacy, information and alternative forms of communication</c:v>
                </c:pt>
                <c:pt idx="4">
                  <c:v>Respite services</c:v>
                </c:pt>
                <c:pt idx="5">
                  <c:v>Community access</c:v>
                </c:pt>
                <c:pt idx="6">
                  <c:v>Community support</c:v>
                </c:pt>
                <c:pt idx="7">
                  <c:v>Accommodation support</c:v>
                </c:pt>
              </c:strCache>
            </c:strRef>
          </c:cat>
          <c:val>
            <c:numRef>
              <c:f>Sheet1!$D$2:$D$9</c:f>
              <c:numCache>
                <c:formatCode>###0</c:formatCode>
                <c:ptCount val="8"/>
                <c:pt idx="0">
                  <c:v>0.7</c:v>
                </c:pt>
                <c:pt idx="1">
                  <c:v>2.4</c:v>
                </c:pt>
                <c:pt idx="2">
                  <c:v>0.46</c:v>
                </c:pt>
                <c:pt idx="3">
                  <c:v>3.1</c:v>
                </c:pt>
                <c:pt idx="4">
                  <c:v>12.7</c:v>
                </c:pt>
                <c:pt idx="5">
                  <c:v>26.8</c:v>
                </c:pt>
                <c:pt idx="6">
                  <c:v>31.5</c:v>
                </c:pt>
                <c:pt idx="7">
                  <c:v>38.1</c:v>
                </c:pt>
              </c:numCache>
            </c:numRef>
          </c:val>
        </c:ser>
        <c:dLbls>
          <c:dLblPos val="outEnd"/>
          <c:showLegendKey val="0"/>
          <c:showVal val="1"/>
          <c:showCatName val="0"/>
          <c:showSerName val="0"/>
          <c:showPercent val="0"/>
          <c:showBubbleSize val="0"/>
        </c:dLbls>
        <c:gapWidth val="60"/>
        <c:overlap val="-15"/>
        <c:axId val="55879936"/>
        <c:axId val="55922688"/>
      </c:barChart>
      <c:catAx>
        <c:axId val="55879936"/>
        <c:scaling>
          <c:orientation val="minMax"/>
        </c:scaling>
        <c:delete val="0"/>
        <c:axPos val="l"/>
        <c:majorTickMark val="out"/>
        <c:minorTickMark val="none"/>
        <c:tickLblPos val="nextTo"/>
        <c:crossAx val="55922688"/>
        <c:crosses val="autoZero"/>
        <c:auto val="1"/>
        <c:lblAlgn val="ctr"/>
        <c:lblOffset val="100"/>
        <c:noMultiLvlLbl val="0"/>
      </c:catAx>
      <c:valAx>
        <c:axId val="55922688"/>
        <c:scaling>
          <c:orientation val="minMax"/>
          <c:max val="60"/>
          <c:min val="0"/>
        </c:scaling>
        <c:delete val="1"/>
        <c:axPos val="b"/>
        <c:numFmt formatCode="0\%" sourceLinked="0"/>
        <c:majorTickMark val="out"/>
        <c:minorTickMark val="none"/>
        <c:tickLblPos val="nextTo"/>
        <c:crossAx val="55879936"/>
        <c:crosses val="autoZero"/>
        <c:crossBetween val="between"/>
        <c:majorUnit val="10"/>
        <c:minorUnit val="2"/>
      </c:valAx>
    </c:plotArea>
    <c:legend>
      <c:legendPos val="r"/>
      <c:layout>
        <c:manualLayout>
          <c:xMode val="edge"/>
          <c:yMode val="edge"/>
          <c:x val="0.69962662074648063"/>
          <c:y val="0.62699621545028972"/>
          <c:w val="0.2122692070898545"/>
          <c:h val="0.1554736068014277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7327648858707474"/>
          <c:y val="2.312563936189491E-2"/>
          <c:w val="0.58908691969059424"/>
          <c:h val="0.95416294773242372"/>
        </c:manualLayout>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Other issue</c:v>
                </c:pt>
                <c:pt idx="1">
                  <c:v>Carers charter</c:v>
                </c:pt>
                <c:pt idx="2">
                  <c:v>Policy/procedure</c:v>
                </c:pt>
                <c:pt idx="3">
                  <c:v>Service access, access priority 
and compatibility</c:v>
                </c:pt>
                <c:pt idx="4">
                  <c:v>Communication/relationships</c:v>
                </c:pt>
                <c:pt idx="5">
                  <c:v>Service delivery, management 
and quality</c:v>
                </c:pt>
                <c:pt idx="6">
                  <c:v>Staff related issues</c:v>
                </c:pt>
              </c:strCache>
            </c:strRef>
          </c:cat>
          <c:val>
            <c:numRef>
              <c:f>Sheet1!$B$2:$B$8</c:f>
              <c:numCache>
                <c:formatCode>###0</c:formatCode>
                <c:ptCount val="7"/>
                <c:pt idx="0">
                  <c:v>2.4</c:v>
                </c:pt>
                <c:pt idx="1">
                  <c:v>11.9</c:v>
                </c:pt>
                <c:pt idx="2">
                  <c:v>9.6999999999999993</c:v>
                </c:pt>
                <c:pt idx="3">
                  <c:v>17</c:v>
                </c:pt>
                <c:pt idx="4">
                  <c:v>38.799999999999997</c:v>
                </c:pt>
                <c:pt idx="5">
                  <c:v>56.3</c:v>
                </c:pt>
                <c:pt idx="6">
                  <c:v>61.45</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Other issue</c:v>
                </c:pt>
                <c:pt idx="1">
                  <c:v>Carers charter</c:v>
                </c:pt>
                <c:pt idx="2">
                  <c:v>Policy/procedure</c:v>
                </c:pt>
                <c:pt idx="3">
                  <c:v>Service access, access priority 
and compatibility</c:v>
                </c:pt>
                <c:pt idx="4">
                  <c:v>Communication/relationships</c:v>
                </c:pt>
                <c:pt idx="5">
                  <c:v>Service delivery, management 
and quality</c:v>
                </c:pt>
                <c:pt idx="6">
                  <c:v>Staff related issues</c:v>
                </c:pt>
              </c:strCache>
            </c:strRef>
          </c:cat>
          <c:val>
            <c:numRef>
              <c:f>Sheet1!$C$2:$C$8</c:f>
              <c:numCache>
                <c:formatCode>###0</c:formatCode>
                <c:ptCount val="7"/>
                <c:pt idx="0">
                  <c:v>4.3</c:v>
                </c:pt>
                <c:pt idx="1">
                  <c:v>11.7</c:v>
                </c:pt>
                <c:pt idx="2">
                  <c:v>12.8</c:v>
                </c:pt>
                <c:pt idx="3">
                  <c:v>16.5</c:v>
                </c:pt>
                <c:pt idx="4">
                  <c:v>41</c:v>
                </c:pt>
                <c:pt idx="5">
                  <c:v>57.3</c:v>
                </c:pt>
                <c:pt idx="6">
                  <c:v>53.1</c:v>
                </c:pt>
              </c:numCache>
            </c:numRef>
          </c:val>
        </c:ser>
        <c:ser>
          <c:idx val="2"/>
          <c:order val="2"/>
          <c:tx>
            <c:strRef>
              <c:f>Sheet1!$D$1</c:f>
              <c:strCache>
                <c:ptCount val="1"/>
                <c:pt idx="0">
                  <c:v>2017-18 (n=425)</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Sheet1!$A$2:$A$8</c:f>
              <c:strCache>
                <c:ptCount val="7"/>
                <c:pt idx="0">
                  <c:v>Other issue</c:v>
                </c:pt>
                <c:pt idx="1">
                  <c:v>Carers charter</c:v>
                </c:pt>
                <c:pt idx="2">
                  <c:v>Policy/procedure</c:v>
                </c:pt>
                <c:pt idx="3">
                  <c:v>Service access, access priority 
and compatibility</c:v>
                </c:pt>
                <c:pt idx="4">
                  <c:v>Communication/relationships</c:v>
                </c:pt>
                <c:pt idx="5">
                  <c:v>Service delivery, management 
and quality</c:v>
                </c:pt>
                <c:pt idx="6">
                  <c:v>Staff related issues</c:v>
                </c:pt>
              </c:strCache>
            </c:strRef>
          </c:cat>
          <c:val>
            <c:numRef>
              <c:f>Sheet1!$D$2:$D$8</c:f>
              <c:numCache>
                <c:formatCode>###0</c:formatCode>
                <c:ptCount val="7"/>
                <c:pt idx="0">
                  <c:v>2.6</c:v>
                </c:pt>
                <c:pt idx="1">
                  <c:v>4.7</c:v>
                </c:pt>
                <c:pt idx="2">
                  <c:v>7.5</c:v>
                </c:pt>
                <c:pt idx="3">
                  <c:v>14.1</c:v>
                </c:pt>
                <c:pt idx="4">
                  <c:v>36.9</c:v>
                </c:pt>
                <c:pt idx="5">
                  <c:v>50.8</c:v>
                </c:pt>
                <c:pt idx="6">
                  <c:v>52.2</c:v>
                </c:pt>
              </c:numCache>
            </c:numRef>
          </c:val>
        </c:ser>
        <c:dLbls>
          <c:dLblPos val="outEnd"/>
          <c:showLegendKey val="0"/>
          <c:showVal val="1"/>
          <c:showCatName val="0"/>
          <c:showSerName val="0"/>
          <c:showPercent val="0"/>
          <c:showBubbleSize val="0"/>
        </c:dLbls>
        <c:gapWidth val="60"/>
        <c:overlap val="-15"/>
        <c:axId val="56240384"/>
        <c:axId val="56246272"/>
      </c:barChart>
      <c:catAx>
        <c:axId val="56240384"/>
        <c:scaling>
          <c:orientation val="minMax"/>
        </c:scaling>
        <c:delete val="0"/>
        <c:axPos val="l"/>
        <c:majorTickMark val="out"/>
        <c:minorTickMark val="none"/>
        <c:tickLblPos val="nextTo"/>
        <c:crossAx val="56246272"/>
        <c:crosses val="autoZero"/>
        <c:auto val="1"/>
        <c:lblAlgn val="ctr"/>
        <c:lblOffset val="100"/>
        <c:noMultiLvlLbl val="0"/>
      </c:catAx>
      <c:valAx>
        <c:axId val="56246272"/>
        <c:scaling>
          <c:orientation val="minMax"/>
          <c:max val="80"/>
          <c:min val="0"/>
        </c:scaling>
        <c:delete val="1"/>
        <c:axPos val="b"/>
        <c:numFmt formatCode="0\%" sourceLinked="0"/>
        <c:majorTickMark val="out"/>
        <c:minorTickMark val="none"/>
        <c:tickLblPos val="nextTo"/>
        <c:crossAx val="56240384"/>
        <c:crosses val="autoZero"/>
        <c:crossBetween val="between"/>
        <c:majorUnit val="10"/>
        <c:minorUnit val="5"/>
      </c:valAx>
    </c:plotArea>
    <c:legend>
      <c:legendPos val="r"/>
      <c:layout>
        <c:manualLayout>
          <c:xMode val="edge"/>
          <c:yMode val="edge"/>
          <c:x val="0.70668129446782102"/>
          <c:y val="0.74544724050723732"/>
          <c:w val="0.21264424102464224"/>
          <c:h val="0.15201094295284359"/>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312236913782007"/>
          <c:y val="2.312563936189491E-2"/>
          <c:w val="0.74957559550339226"/>
          <c:h val="0.95416294773242372"/>
        </c:manualLayout>
      </c:layout>
      <c:barChart>
        <c:barDir val="bar"/>
        <c:grouping val="clustered"/>
        <c:varyColors val="0"/>
        <c:ser>
          <c:idx val="0"/>
          <c:order val="0"/>
          <c:tx>
            <c:strRef>
              <c:f>Sheet1!$B$1</c:f>
              <c:strCache>
                <c:ptCount val="1"/>
                <c:pt idx="0">
                  <c:v>2015-16 (n=371)</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Sheet1!$A$2:$A$9</c:f>
              <c:strCache>
                <c:ptCount val="8"/>
                <c:pt idx="0">
                  <c:v>106+</c:v>
                </c:pt>
                <c:pt idx="1">
                  <c:v>91-105</c:v>
                </c:pt>
                <c:pt idx="2">
                  <c:v>76-90</c:v>
                </c:pt>
                <c:pt idx="3">
                  <c:v>61-75</c:v>
                </c:pt>
                <c:pt idx="4">
                  <c:v>46-60</c:v>
                </c:pt>
                <c:pt idx="5">
                  <c:v>31-45</c:v>
                </c:pt>
                <c:pt idx="6">
                  <c:v>16-30</c:v>
                </c:pt>
                <c:pt idx="7">
                  <c:v>0-15</c:v>
                </c:pt>
              </c:strCache>
            </c:strRef>
          </c:cat>
          <c:val>
            <c:numRef>
              <c:f>Sheet1!$B$2:$B$9</c:f>
              <c:numCache>
                <c:formatCode>###0</c:formatCode>
                <c:ptCount val="8"/>
                <c:pt idx="0">
                  <c:v>6.2</c:v>
                </c:pt>
                <c:pt idx="1">
                  <c:v>3.5</c:v>
                </c:pt>
                <c:pt idx="2">
                  <c:v>3.2</c:v>
                </c:pt>
                <c:pt idx="3">
                  <c:v>5.7</c:v>
                </c:pt>
                <c:pt idx="4">
                  <c:v>5.9</c:v>
                </c:pt>
                <c:pt idx="5">
                  <c:v>8.9</c:v>
                </c:pt>
                <c:pt idx="6">
                  <c:v>13.7</c:v>
                </c:pt>
                <c:pt idx="7">
                  <c:v>52.8</c:v>
                </c:pt>
              </c:numCache>
            </c:numRef>
          </c:val>
        </c:ser>
        <c:ser>
          <c:idx val="1"/>
          <c:order val="1"/>
          <c:tx>
            <c:strRef>
              <c:f>Sheet1!$C$1</c:f>
              <c:strCache>
                <c:ptCount val="1"/>
                <c:pt idx="0">
                  <c:v>2016-17 (n=461)</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Sheet1!$A$2:$A$9</c:f>
              <c:strCache>
                <c:ptCount val="8"/>
                <c:pt idx="0">
                  <c:v>106+</c:v>
                </c:pt>
                <c:pt idx="1">
                  <c:v>91-105</c:v>
                </c:pt>
                <c:pt idx="2">
                  <c:v>76-90</c:v>
                </c:pt>
                <c:pt idx="3">
                  <c:v>61-75</c:v>
                </c:pt>
                <c:pt idx="4">
                  <c:v>46-60</c:v>
                </c:pt>
                <c:pt idx="5">
                  <c:v>31-45</c:v>
                </c:pt>
                <c:pt idx="6">
                  <c:v>16-30</c:v>
                </c:pt>
                <c:pt idx="7">
                  <c:v>0-15</c:v>
                </c:pt>
              </c:strCache>
            </c:strRef>
          </c:cat>
          <c:val>
            <c:numRef>
              <c:f>Sheet1!$C$2:$C$9</c:f>
              <c:numCache>
                <c:formatCode>###0</c:formatCode>
                <c:ptCount val="8"/>
                <c:pt idx="0">
                  <c:v>11.3</c:v>
                </c:pt>
                <c:pt idx="1">
                  <c:v>2</c:v>
                </c:pt>
                <c:pt idx="2">
                  <c:v>2.8</c:v>
                </c:pt>
                <c:pt idx="3">
                  <c:v>4.0999999999999996</c:v>
                </c:pt>
                <c:pt idx="4">
                  <c:v>7.4</c:v>
                </c:pt>
                <c:pt idx="5">
                  <c:v>7.4</c:v>
                </c:pt>
                <c:pt idx="6">
                  <c:v>14.3</c:v>
                </c:pt>
                <c:pt idx="7">
                  <c:v>50.8</c:v>
                </c:pt>
              </c:numCache>
            </c:numRef>
          </c:val>
        </c:ser>
        <c:ser>
          <c:idx val="2"/>
          <c:order val="2"/>
          <c:tx>
            <c:strRef>
              <c:f>Sheet1!$D$1</c:f>
              <c:strCache>
                <c:ptCount val="1"/>
                <c:pt idx="0">
                  <c:v>2017-18 (n=425)</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Sheet1!$A$2:$A$9</c:f>
              <c:strCache>
                <c:ptCount val="8"/>
                <c:pt idx="0">
                  <c:v>106+</c:v>
                </c:pt>
                <c:pt idx="1">
                  <c:v>91-105</c:v>
                </c:pt>
                <c:pt idx="2">
                  <c:v>76-90</c:v>
                </c:pt>
                <c:pt idx="3">
                  <c:v>61-75</c:v>
                </c:pt>
                <c:pt idx="4">
                  <c:v>46-60</c:v>
                </c:pt>
                <c:pt idx="5">
                  <c:v>31-45</c:v>
                </c:pt>
                <c:pt idx="6">
                  <c:v>16-30</c:v>
                </c:pt>
                <c:pt idx="7">
                  <c:v>0-15</c:v>
                </c:pt>
              </c:strCache>
            </c:strRef>
          </c:cat>
          <c:val>
            <c:numRef>
              <c:f>Sheet1!$D$2:$D$9</c:f>
              <c:numCache>
                <c:formatCode>###0</c:formatCode>
                <c:ptCount val="8"/>
                <c:pt idx="0" formatCode="General">
                  <c:v>5.9</c:v>
                </c:pt>
                <c:pt idx="1">
                  <c:v>1.2</c:v>
                </c:pt>
                <c:pt idx="2">
                  <c:v>2.6</c:v>
                </c:pt>
                <c:pt idx="3">
                  <c:v>2.4</c:v>
                </c:pt>
                <c:pt idx="4">
                  <c:v>4</c:v>
                </c:pt>
                <c:pt idx="5">
                  <c:v>9.1999999999999993</c:v>
                </c:pt>
                <c:pt idx="6">
                  <c:v>16.899999999999999</c:v>
                </c:pt>
                <c:pt idx="7">
                  <c:v>57.9</c:v>
                </c:pt>
              </c:numCache>
            </c:numRef>
          </c:val>
        </c:ser>
        <c:dLbls>
          <c:dLblPos val="outEnd"/>
          <c:showLegendKey val="0"/>
          <c:showVal val="1"/>
          <c:showCatName val="0"/>
          <c:showSerName val="0"/>
          <c:showPercent val="0"/>
          <c:showBubbleSize val="0"/>
        </c:dLbls>
        <c:gapWidth val="60"/>
        <c:overlap val="-15"/>
        <c:axId val="56449280"/>
        <c:axId val="56459264"/>
      </c:barChart>
      <c:catAx>
        <c:axId val="56449280"/>
        <c:scaling>
          <c:orientation val="minMax"/>
        </c:scaling>
        <c:delete val="0"/>
        <c:axPos val="l"/>
        <c:majorTickMark val="out"/>
        <c:minorTickMark val="none"/>
        <c:tickLblPos val="nextTo"/>
        <c:crossAx val="56459264"/>
        <c:crosses val="autoZero"/>
        <c:auto val="1"/>
        <c:lblAlgn val="ctr"/>
        <c:lblOffset val="100"/>
        <c:noMultiLvlLbl val="0"/>
      </c:catAx>
      <c:valAx>
        <c:axId val="56459264"/>
        <c:scaling>
          <c:orientation val="minMax"/>
          <c:max val="60"/>
          <c:min val="0"/>
        </c:scaling>
        <c:delete val="1"/>
        <c:axPos val="b"/>
        <c:numFmt formatCode="0\%" sourceLinked="0"/>
        <c:majorTickMark val="out"/>
        <c:minorTickMark val="none"/>
        <c:tickLblPos val="nextTo"/>
        <c:crossAx val="56449280"/>
        <c:crosses val="autoZero"/>
        <c:crossBetween val="between"/>
        <c:majorUnit val="10"/>
        <c:minorUnit val="5"/>
      </c:valAx>
    </c:plotArea>
    <c:legend>
      <c:legendPos val="r"/>
      <c:layout>
        <c:manualLayout>
          <c:xMode val="edge"/>
          <c:yMode val="edge"/>
          <c:x val="0.64824072698459867"/>
          <c:y val="0.63557348204525654"/>
          <c:w val="0.3099893154948552"/>
          <c:h val="0.160919628921663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Complaints received</c:v>
                </c:pt>
              </c:strCache>
            </c:strRef>
          </c:tx>
          <c:spPr>
            <a:solidFill>
              <a:srgbClr val="04425E"/>
            </a:solidFill>
            <a:ln>
              <a:noFill/>
            </a:ln>
          </c:spPr>
          <c:invertIfNegative val="0"/>
          <c:dLbls>
            <c:numFmt formatCode="#,##0" sourceLinked="0"/>
            <c:txPr>
              <a:bodyPr/>
              <a:lstStyle/>
              <a:p>
                <a:pPr>
                  <a:defRPr b="1"/>
                </a:pPr>
                <a:endParaRPr lang="en-US"/>
              </a:p>
            </c:txPr>
            <c:showLegendKey val="0"/>
            <c:showVal val="1"/>
            <c:showCatName val="0"/>
            <c:showSerName val="0"/>
            <c:showPercent val="0"/>
            <c:showBubbleSize val="0"/>
            <c:showLeaderLines val="0"/>
          </c:dLbls>
          <c:cat>
            <c:strRef>
              <c:f>Sheet1!$A$2:$A$4</c:f>
              <c:strCache>
                <c:ptCount val="3"/>
                <c:pt idx="0">
                  <c:v>2015-16</c:v>
                </c:pt>
                <c:pt idx="1">
                  <c:v>2016-17</c:v>
                </c:pt>
                <c:pt idx="2">
                  <c:v>2017-18</c:v>
                </c:pt>
              </c:strCache>
            </c:strRef>
          </c:cat>
          <c:val>
            <c:numRef>
              <c:f>Sheet1!$B$2:$B$4</c:f>
              <c:numCache>
                <c:formatCode>General</c:formatCode>
                <c:ptCount val="3"/>
                <c:pt idx="0">
                  <c:v>353</c:v>
                </c:pt>
                <c:pt idx="1">
                  <c:v>365</c:v>
                </c:pt>
                <c:pt idx="2">
                  <c:v>349</c:v>
                </c:pt>
              </c:numCache>
            </c:numRef>
          </c:val>
        </c:ser>
        <c:ser>
          <c:idx val="1"/>
          <c:order val="1"/>
          <c:tx>
            <c:strRef>
              <c:f>Sheet1!$C$1</c:f>
              <c:strCache>
                <c:ptCount val="1"/>
                <c:pt idx="0">
                  <c:v>Complaints closed</c:v>
                </c:pt>
              </c:strCache>
            </c:strRef>
          </c:tx>
          <c:spPr>
            <a:solidFill>
              <a:schemeClr val="bg1">
                <a:lumMod val="75000"/>
              </a:schemeClr>
            </a:solidFill>
            <a:ln>
              <a:noFill/>
            </a:ln>
          </c:spPr>
          <c:invertIfNegative val="0"/>
          <c:dLbls>
            <c:txPr>
              <a:bodyPr/>
              <a:lstStyle/>
              <a:p>
                <a:pPr>
                  <a:defRPr b="1"/>
                </a:pPr>
                <a:endParaRPr lang="en-US"/>
              </a:p>
            </c:txPr>
            <c:showLegendKey val="0"/>
            <c:showVal val="1"/>
            <c:showCatName val="0"/>
            <c:showSerName val="0"/>
            <c:showPercent val="0"/>
            <c:showBubbleSize val="0"/>
            <c:showLeaderLines val="0"/>
          </c:dLbls>
          <c:cat>
            <c:strRef>
              <c:f>Sheet1!$A$2:$A$4</c:f>
              <c:strCache>
                <c:ptCount val="3"/>
                <c:pt idx="0">
                  <c:v>2015-16</c:v>
                </c:pt>
                <c:pt idx="1">
                  <c:v>2016-17</c:v>
                </c:pt>
                <c:pt idx="2">
                  <c:v>2017-18</c:v>
                </c:pt>
              </c:strCache>
            </c:strRef>
          </c:cat>
          <c:val>
            <c:numRef>
              <c:f>Sheet1!$C$2:$C$4</c:f>
              <c:numCache>
                <c:formatCode>General</c:formatCode>
                <c:ptCount val="3"/>
                <c:pt idx="0">
                  <c:v>357</c:v>
                </c:pt>
                <c:pt idx="1">
                  <c:v>377</c:v>
                </c:pt>
                <c:pt idx="2">
                  <c:v>361</c:v>
                </c:pt>
              </c:numCache>
            </c:numRef>
          </c:val>
        </c:ser>
        <c:dLbls>
          <c:showLegendKey val="0"/>
          <c:showVal val="1"/>
          <c:showCatName val="0"/>
          <c:showSerName val="0"/>
          <c:showPercent val="0"/>
          <c:showBubbleSize val="0"/>
        </c:dLbls>
        <c:gapWidth val="150"/>
        <c:overlap val="-15"/>
        <c:axId val="56468992"/>
        <c:axId val="56470912"/>
      </c:barChart>
      <c:catAx>
        <c:axId val="56468992"/>
        <c:scaling>
          <c:orientation val="minMax"/>
        </c:scaling>
        <c:delete val="0"/>
        <c:axPos val="b"/>
        <c:title>
          <c:tx>
            <c:rich>
              <a:bodyPr/>
              <a:lstStyle/>
              <a:p>
                <a:pPr>
                  <a:defRPr/>
                </a:pPr>
                <a:r>
                  <a:rPr lang="en-AU"/>
                  <a:t>Financial year</a:t>
                </a:r>
              </a:p>
            </c:rich>
          </c:tx>
          <c:overlay val="0"/>
        </c:title>
        <c:majorTickMark val="out"/>
        <c:minorTickMark val="none"/>
        <c:tickLblPos val="nextTo"/>
        <c:crossAx val="56470912"/>
        <c:crosses val="autoZero"/>
        <c:auto val="1"/>
        <c:lblAlgn val="ctr"/>
        <c:lblOffset val="100"/>
        <c:noMultiLvlLbl val="0"/>
      </c:catAx>
      <c:valAx>
        <c:axId val="56470912"/>
        <c:scaling>
          <c:orientation val="minMax"/>
          <c:max val="400"/>
          <c:min val="200"/>
        </c:scaling>
        <c:delete val="1"/>
        <c:axPos val="l"/>
        <c:numFmt formatCode="General" sourceLinked="1"/>
        <c:majorTickMark val="out"/>
        <c:minorTickMark val="none"/>
        <c:tickLblPos val="nextTo"/>
        <c:crossAx val="56468992"/>
        <c:crosses val="autoZero"/>
        <c:crossBetween val="between"/>
        <c:majorUnit val="50"/>
        <c:minorUnit val="50"/>
      </c:valAx>
    </c:plotArea>
    <c:legend>
      <c:legendPos val="b"/>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2015-16 (n=357)</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Sheet1!$B$2:$B$6</c:f>
              <c:numCache>
                <c:formatCode>General</c:formatCode>
                <c:ptCount val="5"/>
                <c:pt idx="0">
                  <c:v>75</c:v>
                </c:pt>
                <c:pt idx="1">
                  <c:v>15</c:v>
                </c:pt>
                <c:pt idx="2">
                  <c:v>4</c:v>
                </c:pt>
                <c:pt idx="3">
                  <c:v>3</c:v>
                </c:pt>
                <c:pt idx="4">
                  <c:v>3</c:v>
                </c:pt>
              </c:numCache>
            </c:numRef>
          </c:val>
        </c:ser>
        <c:ser>
          <c:idx val="1"/>
          <c:order val="1"/>
          <c:tx>
            <c:strRef>
              <c:f>Sheet1!$C$1</c:f>
              <c:strCache>
                <c:ptCount val="1"/>
                <c:pt idx="0">
                  <c:v>2016-17 (n=377)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Sheet1!$C$2:$C$6</c:f>
              <c:numCache>
                <c:formatCode>General</c:formatCode>
                <c:ptCount val="5"/>
                <c:pt idx="0">
                  <c:v>74</c:v>
                </c:pt>
                <c:pt idx="1">
                  <c:v>15</c:v>
                </c:pt>
                <c:pt idx="2">
                  <c:v>2</c:v>
                </c:pt>
                <c:pt idx="3">
                  <c:v>4</c:v>
                </c:pt>
                <c:pt idx="4">
                  <c:v>5</c:v>
                </c:pt>
              </c:numCache>
            </c:numRef>
          </c:val>
        </c:ser>
        <c:ser>
          <c:idx val="2"/>
          <c:order val="2"/>
          <c:tx>
            <c:strRef>
              <c:f>Sheet1!$D$1</c:f>
              <c:strCache>
                <c:ptCount val="1"/>
                <c:pt idx="0">
                  <c:v>2017-18 (n=361)</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Sheet1!$D$2:$D$6</c:f>
              <c:numCache>
                <c:formatCode>General</c:formatCode>
                <c:ptCount val="5"/>
                <c:pt idx="0">
                  <c:v>73</c:v>
                </c:pt>
                <c:pt idx="1">
                  <c:v>16</c:v>
                </c:pt>
                <c:pt idx="2">
                  <c:v>4</c:v>
                </c:pt>
                <c:pt idx="3">
                  <c:v>3</c:v>
                </c:pt>
                <c:pt idx="4">
                  <c:v>3</c:v>
                </c:pt>
              </c:numCache>
            </c:numRef>
          </c:val>
        </c:ser>
        <c:dLbls>
          <c:dLblPos val="outEnd"/>
          <c:showLegendKey val="0"/>
          <c:showVal val="1"/>
          <c:showCatName val="0"/>
          <c:showSerName val="0"/>
          <c:showPercent val="0"/>
          <c:showBubbleSize val="0"/>
        </c:dLbls>
        <c:gapWidth val="75"/>
        <c:overlap val="-10"/>
        <c:axId val="56743808"/>
        <c:axId val="56745344"/>
      </c:barChart>
      <c:catAx>
        <c:axId val="56743808"/>
        <c:scaling>
          <c:orientation val="minMax"/>
        </c:scaling>
        <c:delete val="0"/>
        <c:axPos val="b"/>
        <c:majorTickMark val="out"/>
        <c:minorTickMark val="none"/>
        <c:tickLblPos val="nextTo"/>
        <c:crossAx val="56745344"/>
        <c:crosses val="autoZero"/>
        <c:auto val="1"/>
        <c:lblAlgn val="ctr"/>
        <c:lblOffset val="100"/>
        <c:noMultiLvlLbl val="0"/>
      </c:catAx>
      <c:valAx>
        <c:axId val="56745344"/>
        <c:scaling>
          <c:orientation val="minMax"/>
          <c:max val="100"/>
        </c:scaling>
        <c:delete val="1"/>
        <c:axPos val="l"/>
        <c:numFmt formatCode="0\%" sourceLinked="0"/>
        <c:majorTickMark val="out"/>
        <c:minorTickMark val="none"/>
        <c:tickLblPos val="nextTo"/>
        <c:crossAx val="56743808"/>
        <c:crosses val="autoZero"/>
        <c:crossBetween val="between"/>
        <c:majorUnit val="20"/>
        <c:minorUnit val="2"/>
      </c:valAx>
    </c:plotArea>
    <c:legend>
      <c:legendPos val="r"/>
      <c:layout>
        <c:manualLayout>
          <c:xMode val="edge"/>
          <c:yMode val="edge"/>
          <c:x val="0.7631645309042252"/>
          <c:y val="5.1131949415413963E-2"/>
          <c:w val="0.19666117715677697"/>
          <c:h val="0.31024051539012171"/>
        </c:manualLayout>
      </c:layout>
      <c:overlay val="1"/>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302983971663739E-2"/>
          <c:y val="6.7859346082665015E-2"/>
          <c:w val="0.9804255536019163"/>
          <c:h val="0.7268828841328755"/>
        </c:manualLayout>
      </c:layout>
      <c:barChart>
        <c:barDir val="col"/>
        <c:grouping val="clustered"/>
        <c:varyColors val="0"/>
        <c:ser>
          <c:idx val="0"/>
          <c:order val="0"/>
          <c:tx>
            <c:strRef>
              <c:f>Sheet1!$B$1</c:f>
              <c:strCache>
                <c:ptCount val="1"/>
                <c:pt idx="0">
                  <c:v>Column1</c:v>
                </c:pt>
              </c:strCache>
            </c:strRef>
          </c:tx>
          <c:spPr>
            <a:solidFill>
              <a:schemeClr val="bg1">
                <a:lumMod val="75000"/>
              </a:schemeClr>
            </a:solidFill>
            <a:ln>
              <a:noFill/>
            </a:ln>
          </c:spPr>
          <c:invertIfNegative val="0"/>
          <c:dLbls>
            <c:numFmt formatCode="0\%" sourceLinked="0"/>
            <c:dLblPos val="outEnd"/>
            <c:showLegendKey val="0"/>
            <c:showVal val="1"/>
            <c:showCatName val="0"/>
            <c:showSerName val="0"/>
            <c:showPercent val="0"/>
            <c:showBubbleSize val="0"/>
            <c:showLeaderLines val="0"/>
          </c:dLbls>
          <c:cat>
            <c:strRef>
              <c:f>Sheet1!$A$2:$A$13</c:f>
              <c:strCache>
                <c:ptCount val="12"/>
                <c:pt idx="0">
                  <c:v>0 to 14</c:v>
                </c:pt>
                <c:pt idx="1">
                  <c:v>15 to 24</c:v>
                </c:pt>
                <c:pt idx="2">
                  <c:v>25 to 34</c:v>
                </c:pt>
                <c:pt idx="3">
                  <c:v>35 to 44</c:v>
                </c:pt>
                <c:pt idx="4">
                  <c:v>45 to 54</c:v>
                </c:pt>
                <c:pt idx="5">
                  <c:v>55 to 64</c:v>
                </c:pt>
                <c:pt idx="6">
                  <c:v>65 to 74</c:v>
                </c:pt>
                <c:pt idx="7">
                  <c:v>75 +</c:v>
                </c:pt>
                <c:pt idx="9">
                  <c:v>Male</c:v>
                </c:pt>
                <c:pt idx="10">
                  <c:v>Female</c:v>
                </c:pt>
                <c:pt idx="11">
                  <c:v>Unknown</c:v>
                </c:pt>
              </c:strCache>
            </c:strRef>
          </c:cat>
          <c:val>
            <c:numRef>
              <c:f>Sheet1!$B$2:$B$13</c:f>
              <c:numCache>
                <c:formatCode>###0.0</c:formatCode>
                <c:ptCount val="12"/>
                <c:pt idx="0" formatCode="General">
                  <c:v>2</c:v>
                </c:pt>
                <c:pt idx="1">
                  <c:v>10.4</c:v>
                </c:pt>
                <c:pt idx="2">
                  <c:v>25.4</c:v>
                </c:pt>
                <c:pt idx="3">
                  <c:v>23.9</c:v>
                </c:pt>
                <c:pt idx="4">
                  <c:v>23.9</c:v>
                </c:pt>
                <c:pt idx="5">
                  <c:v>10.4</c:v>
                </c:pt>
                <c:pt idx="6">
                  <c:v>3</c:v>
                </c:pt>
                <c:pt idx="7">
                  <c:v>1</c:v>
                </c:pt>
                <c:pt idx="9" formatCode="General">
                  <c:v>52</c:v>
                </c:pt>
                <c:pt idx="10" formatCode="General">
                  <c:v>47</c:v>
                </c:pt>
                <c:pt idx="11" formatCode="General">
                  <c:v>1</c:v>
                </c:pt>
              </c:numCache>
            </c:numRef>
          </c:val>
        </c:ser>
        <c:dLbls>
          <c:dLblPos val="outEnd"/>
          <c:showLegendKey val="0"/>
          <c:showVal val="1"/>
          <c:showCatName val="0"/>
          <c:showSerName val="0"/>
          <c:showPercent val="0"/>
          <c:showBubbleSize val="0"/>
        </c:dLbls>
        <c:gapWidth val="60"/>
        <c:overlap val="-25"/>
        <c:axId val="70196608"/>
        <c:axId val="70199552"/>
      </c:barChart>
      <c:catAx>
        <c:axId val="70196608"/>
        <c:scaling>
          <c:orientation val="minMax"/>
        </c:scaling>
        <c:delete val="0"/>
        <c:axPos val="b"/>
        <c:majorTickMark val="out"/>
        <c:minorTickMark val="none"/>
        <c:tickLblPos val="nextTo"/>
        <c:crossAx val="70199552"/>
        <c:crosses val="autoZero"/>
        <c:auto val="1"/>
        <c:lblAlgn val="ctr"/>
        <c:lblOffset val="100"/>
        <c:noMultiLvlLbl val="0"/>
      </c:catAx>
      <c:valAx>
        <c:axId val="70199552"/>
        <c:scaling>
          <c:orientation val="minMax"/>
          <c:max val="80"/>
        </c:scaling>
        <c:delete val="1"/>
        <c:axPos val="l"/>
        <c:numFmt formatCode="0\%" sourceLinked="0"/>
        <c:majorTickMark val="out"/>
        <c:minorTickMark val="none"/>
        <c:tickLblPos val="nextTo"/>
        <c:crossAx val="70196608"/>
        <c:crosses val="autoZero"/>
        <c:crossBetween val="between"/>
        <c:majorUnit val="20"/>
        <c:minorUnit val="20"/>
      </c:valAx>
    </c:plotArea>
    <c:plotVisOnly val="1"/>
    <c:dispBlanksAs val="gap"/>
    <c:showDLblsOverMax val="0"/>
  </c:chart>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560494454322241E-2"/>
          <c:y val="6.7859346082665015E-2"/>
          <c:w val="0.97796867327067982"/>
          <c:h val="0.77974628171478566"/>
        </c:manualLayout>
      </c:layout>
      <c:barChart>
        <c:barDir val="col"/>
        <c:grouping val="clustered"/>
        <c:varyColors val="0"/>
        <c:ser>
          <c:idx val="0"/>
          <c:order val="0"/>
          <c:tx>
            <c:strRef>
              <c:f>Sheet1!$B$1</c:f>
              <c:strCache>
                <c:ptCount val="1"/>
                <c:pt idx="0">
                  <c:v>2015-16 (n=82)</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Sheet1!$B$2:$B$7</c:f>
              <c:numCache>
                <c:formatCode>###0.0</c:formatCode>
                <c:ptCount val="6"/>
                <c:pt idx="0">
                  <c:v>63.4</c:v>
                </c:pt>
                <c:pt idx="1">
                  <c:v>25.6</c:v>
                </c:pt>
                <c:pt idx="2">
                  <c:v>8.5</c:v>
                </c:pt>
                <c:pt idx="3">
                  <c:v>1.2</c:v>
                </c:pt>
                <c:pt idx="4">
                  <c:v>1.2</c:v>
                </c:pt>
                <c:pt idx="5" formatCode="####.0">
                  <c:v>0</c:v>
                </c:pt>
              </c:numCache>
            </c:numRef>
          </c:val>
        </c:ser>
        <c:ser>
          <c:idx val="1"/>
          <c:order val="1"/>
          <c:tx>
            <c:strRef>
              <c:f>Sheet1!$C$1</c:f>
              <c:strCache>
                <c:ptCount val="1"/>
                <c:pt idx="0">
                  <c:v>2016-17 (n=377)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Sheet1!$C$2:$C$7</c:f>
              <c:numCache>
                <c:formatCode>###0.0</c:formatCode>
                <c:ptCount val="6"/>
                <c:pt idx="0">
                  <c:v>58.620689655172406</c:v>
                </c:pt>
                <c:pt idx="1">
                  <c:v>24.403183023872678</c:v>
                </c:pt>
                <c:pt idx="2">
                  <c:v>11.140583554376658</c:v>
                </c:pt>
                <c:pt idx="3">
                  <c:v>3.978779840848806</c:v>
                </c:pt>
                <c:pt idx="4">
                  <c:v>1.3262599469496021</c:v>
                </c:pt>
                <c:pt idx="5" formatCode="####.0">
                  <c:v>0.53050397877984079</c:v>
                </c:pt>
              </c:numCache>
            </c:numRef>
          </c:val>
        </c:ser>
        <c:ser>
          <c:idx val="2"/>
          <c:order val="2"/>
          <c:tx>
            <c:strRef>
              <c:f>Sheet1!$D$1</c:f>
              <c:strCache>
                <c:ptCount val="1"/>
                <c:pt idx="0">
                  <c:v>2017-18 (n=361)</c:v>
                </c:pt>
              </c:strCache>
            </c:strRef>
          </c:tx>
          <c:spPr>
            <a:solidFill>
              <a:schemeClr val="bg1">
                <a:lumMod val="75000"/>
              </a:schemeClr>
            </a:solidFill>
          </c:spPr>
          <c:invertIfNegative val="0"/>
          <c:dLbls>
            <c:dLbl>
              <c:idx val="5"/>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Sheet1!$D$2:$D$7</c:f>
              <c:numCache>
                <c:formatCode>###0.0</c:formatCode>
                <c:ptCount val="6"/>
                <c:pt idx="0">
                  <c:v>52.6</c:v>
                </c:pt>
                <c:pt idx="1">
                  <c:v>33</c:v>
                </c:pt>
                <c:pt idx="2">
                  <c:v>11.1</c:v>
                </c:pt>
                <c:pt idx="3">
                  <c:v>2.4900000000000002</c:v>
                </c:pt>
                <c:pt idx="4">
                  <c:v>0.6</c:v>
                </c:pt>
                <c:pt idx="5" formatCode="####.0">
                  <c:v>0.3</c:v>
                </c:pt>
              </c:numCache>
            </c:numRef>
          </c:val>
        </c:ser>
        <c:dLbls>
          <c:dLblPos val="outEnd"/>
          <c:showLegendKey val="0"/>
          <c:showVal val="1"/>
          <c:showCatName val="0"/>
          <c:showSerName val="0"/>
          <c:showPercent val="0"/>
          <c:showBubbleSize val="0"/>
        </c:dLbls>
        <c:gapWidth val="101"/>
        <c:overlap val="-20"/>
        <c:axId val="70546176"/>
        <c:axId val="70547712"/>
      </c:barChart>
      <c:catAx>
        <c:axId val="70546176"/>
        <c:scaling>
          <c:orientation val="minMax"/>
        </c:scaling>
        <c:delete val="0"/>
        <c:axPos val="b"/>
        <c:majorTickMark val="out"/>
        <c:minorTickMark val="none"/>
        <c:tickLblPos val="nextTo"/>
        <c:crossAx val="70547712"/>
        <c:crosses val="autoZero"/>
        <c:auto val="1"/>
        <c:lblAlgn val="ctr"/>
        <c:lblOffset val="100"/>
        <c:noMultiLvlLbl val="0"/>
      </c:catAx>
      <c:valAx>
        <c:axId val="70547712"/>
        <c:scaling>
          <c:orientation val="minMax"/>
          <c:max val="100"/>
        </c:scaling>
        <c:delete val="1"/>
        <c:axPos val="l"/>
        <c:numFmt formatCode="0\%" sourceLinked="0"/>
        <c:majorTickMark val="out"/>
        <c:minorTickMark val="none"/>
        <c:tickLblPos val="nextTo"/>
        <c:crossAx val="70546176"/>
        <c:crosses val="autoZero"/>
        <c:crossBetween val="between"/>
        <c:majorUnit val="20"/>
        <c:minorUnit val="2"/>
      </c:valAx>
    </c:plotArea>
    <c:legend>
      <c:legendPos val="l"/>
      <c:layout>
        <c:manualLayout>
          <c:xMode val="edge"/>
          <c:yMode val="edge"/>
          <c:x val="0.76774193548387093"/>
          <c:y val="0.10503428399201295"/>
          <c:w val="0.19412361358056049"/>
          <c:h val="0.3060668761696268"/>
        </c:manualLayout>
      </c:layout>
      <c:overlay val="1"/>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271153951222405"/>
          <c:y val="1.5518989145146002E-2"/>
          <c:w val="0.48709478173983983"/>
          <c:h val="0.96545734497175328"/>
        </c:manualLayout>
      </c:layout>
      <c:barChart>
        <c:barDir val="bar"/>
        <c:grouping val="clustered"/>
        <c:varyColors val="0"/>
        <c:ser>
          <c:idx val="0"/>
          <c:order val="0"/>
          <c:tx>
            <c:strRef>
              <c:f>Sheet1!$B$1</c:f>
              <c:strCache>
                <c:ptCount val="1"/>
                <c:pt idx="0">
                  <c:v>2015-16 (n=82)</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Grievances</c:v>
                </c:pt>
                <c:pt idx="1">
                  <c:v>Carers charter</c:v>
                </c:pt>
                <c:pt idx="2">
                  <c:v>Corporate services</c:v>
                </c:pt>
                <c:pt idx="3">
                  <c:v>Costs</c:v>
                </c:pt>
                <c:pt idx="4">
                  <c:v>Access</c:v>
                </c:pt>
                <c:pt idx="5">
                  <c:v>Professional conduct</c:v>
                </c:pt>
                <c:pt idx="6">
                  <c:v>Decision making</c:v>
                </c:pt>
                <c:pt idx="7">
                  <c:v>Rights, respect and dignity</c:v>
                </c:pt>
                <c:pt idx="8">
                  <c:v>Communication</c:v>
                </c:pt>
                <c:pt idx="9">
                  <c:v>Quality of clinical care</c:v>
                </c:pt>
              </c:strCache>
            </c:strRef>
          </c:cat>
          <c:val>
            <c:numRef>
              <c:f>Sheet1!$B$2:$B$11</c:f>
              <c:numCache>
                <c:formatCode>###0</c:formatCode>
                <c:ptCount val="10"/>
                <c:pt idx="0">
                  <c:v>3.7</c:v>
                </c:pt>
                <c:pt idx="1">
                  <c:v>3.7</c:v>
                </c:pt>
                <c:pt idx="2">
                  <c:v>4.9000000000000004</c:v>
                </c:pt>
                <c:pt idx="3">
                  <c:v>1.2</c:v>
                </c:pt>
                <c:pt idx="4">
                  <c:v>14.6</c:v>
                </c:pt>
                <c:pt idx="5">
                  <c:v>11</c:v>
                </c:pt>
                <c:pt idx="6">
                  <c:v>17.100000000000001</c:v>
                </c:pt>
                <c:pt idx="7">
                  <c:v>13.4</c:v>
                </c:pt>
                <c:pt idx="8">
                  <c:v>24.4</c:v>
                </c:pt>
                <c:pt idx="9">
                  <c:v>36.6</c:v>
                </c:pt>
              </c:numCache>
            </c:numRef>
          </c:val>
        </c:ser>
        <c:ser>
          <c:idx val="1"/>
          <c:order val="1"/>
          <c:tx>
            <c:strRef>
              <c:f>Sheet1!$C$1</c:f>
              <c:strCache>
                <c:ptCount val="1"/>
                <c:pt idx="0">
                  <c:v>2016-17 (n=377)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Grievances</c:v>
                </c:pt>
                <c:pt idx="1">
                  <c:v>Carers charter</c:v>
                </c:pt>
                <c:pt idx="2">
                  <c:v>Corporate services</c:v>
                </c:pt>
                <c:pt idx="3">
                  <c:v>Costs</c:v>
                </c:pt>
                <c:pt idx="4">
                  <c:v>Access</c:v>
                </c:pt>
                <c:pt idx="5">
                  <c:v>Professional conduct</c:v>
                </c:pt>
                <c:pt idx="6">
                  <c:v>Decision making</c:v>
                </c:pt>
                <c:pt idx="7">
                  <c:v>Rights, respect and dignity</c:v>
                </c:pt>
                <c:pt idx="8">
                  <c:v>Communication</c:v>
                </c:pt>
                <c:pt idx="9">
                  <c:v>Quality of clinical care</c:v>
                </c:pt>
              </c:strCache>
            </c:strRef>
          </c:cat>
          <c:val>
            <c:numRef>
              <c:f>Sheet1!$C$2:$C$11</c:f>
              <c:numCache>
                <c:formatCode>###0.0</c:formatCode>
                <c:ptCount val="10"/>
                <c:pt idx="0">
                  <c:v>3.4</c:v>
                </c:pt>
                <c:pt idx="1">
                  <c:v>6.1</c:v>
                </c:pt>
                <c:pt idx="2">
                  <c:v>3.7</c:v>
                </c:pt>
                <c:pt idx="3">
                  <c:v>2.1</c:v>
                </c:pt>
                <c:pt idx="4">
                  <c:v>11.7</c:v>
                </c:pt>
                <c:pt idx="5">
                  <c:v>8.1999999999999993</c:v>
                </c:pt>
                <c:pt idx="6">
                  <c:v>16.399999999999999</c:v>
                </c:pt>
                <c:pt idx="7">
                  <c:v>18.600000000000001</c:v>
                </c:pt>
                <c:pt idx="8">
                  <c:v>28.4</c:v>
                </c:pt>
                <c:pt idx="9">
                  <c:v>42.4</c:v>
                </c:pt>
              </c:numCache>
            </c:numRef>
          </c:val>
        </c:ser>
        <c:ser>
          <c:idx val="2"/>
          <c:order val="2"/>
          <c:tx>
            <c:strRef>
              <c:f>Sheet1!$D$1</c:f>
              <c:strCache>
                <c:ptCount val="1"/>
                <c:pt idx="0">
                  <c:v>2017-18 (n=361)</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Grievances</c:v>
                </c:pt>
                <c:pt idx="1">
                  <c:v>Carers charter</c:v>
                </c:pt>
                <c:pt idx="2">
                  <c:v>Corporate services</c:v>
                </c:pt>
                <c:pt idx="3">
                  <c:v>Costs</c:v>
                </c:pt>
                <c:pt idx="4">
                  <c:v>Access</c:v>
                </c:pt>
                <c:pt idx="5">
                  <c:v>Professional conduct</c:v>
                </c:pt>
                <c:pt idx="6">
                  <c:v>Decision making</c:v>
                </c:pt>
                <c:pt idx="7">
                  <c:v>Rights, respect and dignity</c:v>
                </c:pt>
                <c:pt idx="8">
                  <c:v>Communication</c:v>
                </c:pt>
                <c:pt idx="9">
                  <c:v>Quality of clinical care</c:v>
                </c:pt>
              </c:strCache>
            </c:strRef>
          </c:cat>
          <c:val>
            <c:numRef>
              <c:f>Sheet1!$D$2:$D$11</c:f>
              <c:numCache>
                <c:formatCode>###0.0</c:formatCode>
                <c:ptCount val="10"/>
                <c:pt idx="0">
                  <c:v>3.6</c:v>
                </c:pt>
                <c:pt idx="1">
                  <c:v>3.6</c:v>
                </c:pt>
                <c:pt idx="2">
                  <c:v>5.3</c:v>
                </c:pt>
                <c:pt idx="3">
                  <c:v>5.5</c:v>
                </c:pt>
                <c:pt idx="4">
                  <c:v>8.6</c:v>
                </c:pt>
                <c:pt idx="5">
                  <c:v>9.1</c:v>
                </c:pt>
                <c:pt idx="6">
                  <c:v>11.9</c:v>
                </c:pt>
                <c:pt idx="7">
                  <c:v>18.3</c:v>
                </c:pt>
                <c:pt idx="8">
                  <c:v>32.4</c:v>
                </c:pt>
                <c:pt idx="9">
                  <c:v>41.3</c:v>
                </c:pt>
              </c:numCache>
            </c:numRef>
          </c:val>
        </c:ser>
        <c:dLbls>
          <c:dLblPos val="outEnd"/>
          <c:showLegendKey val="0"/>
          <c:showVal val="1"/>
          <c:showCatName val="0"/>
          <c:showSerName val="0"/>
          <c:showPercent val="0"/>
          <c:showBubbleSize val="0"/>
        </c:dLbls>
        <c:gapWidth val="60"/>
        <c:overlap val="-15"/>
        <c:axId val="70595328"/>
        <c:axId val="70596864"/>
      </c:barChart>
      <c:catAx>
        <c:axId val="70595328"/>
        <c:scaling>
          <c:orientation val="minMax"/>
        </c:scaling>
        <c:delete val="0"/>
        <c:axPos val="l"/>
        <c:majorTickMark val="out"/>
        <c:minorTickMark val="none"/>
        <c:tickLblPos val="nextTo"/>
        <c:crossAx val="70596864"/>
        <c:crosses val="autoZero"/>
        <c:auto val="1"/>
        <c:lblAlgn val="ctr"/>
        <c:lblOffset val="100"/>
        <c:noMultiLvlLbl val="0"/>
      </c:catAx>
      <c:valAx>
        <c:axId val="70596864"/>
        <c:scaling>
          <c:orientation val="minMax"/>
          <c:max val="60"/>
          <c:min val="0"/>
        </c:scaling>
        <c:delete val="1"/>
        <c:axPos val="b"/>
        <c:numFmt formatCode="0\%" sourceLinked="0"/>
        <c:majorTickMark val="out"/>
        <c:minorTickMark val="none"/>
        <c:tickLblPos val="nextTo"/>
        <c:crossAx val="70595328"/>
        <c:crosses val="autoZero"/>
        <c:crossBetween val="between"/>
        <c:majorUnit val="10"/>
        <c:minorUnit val="2"/>
      </c:valAx>
    </c:plotArea>
    <c:legend>
      <c:legendPos val="r"/>
      <c:layout>
        <c:manualLayout>
          <c:xMode val="edge"/>
          <c:yMode val="edge"/>
          <c:x val="0.69257194702514024"/>
          <c:y val="0.77581941181808101"/>
          <c:w val="0.21249406853804292"/>
          <c:h val="0.1318302473329129"/>
        </c:manualLayout>
      </c:layout>
      <c:overlay val="0"/>
    </c:legend>
    <c:plotVisOnly val="1"/>
    <c:dispBlanksAs val="gap"/>
    <c:showDLblsOverMax val="0"/>
  </c:chart>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4298859791202272"/>
          <c:y val="2.3333735361854385E-2"/>
          <c:w val="0.51272876846974857"/>
          <c:h val="0.95900322927632287"/>
        </c:manualLayout>
      </c:layout>
      <c:barChart>
        <c:barDir val="bar"/>
        <c:grouping val="clustered"/>
        <c:varyColors val="0"/>
        <c:ser>
          <c:idx val="0"/>
          <c:order val="0"/>
          <c:tx>
            <c:strRef>
              <c:f>Sheet1!$B$1</c:f>
              <c:strCache>
                <c:ptCount val="1"/>
                <c:pt idx="0">
                  <c:v>2015-16 (n=357)</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Sheet1!$A$2:$A$10</c:f>
              <c:strCache>
                <c:ptCount val="9"/>
                <c:pt idx="0">
                  <c:v>Other</c:v>
                </c:pt>
                <c:pt idx="1">
                  <c:v>Mental health nurse</c:v>
                </c:pt>
                <c:pt idx="2">
                  <c:v>Counsellor/counselling</c:v>
                </c:pt>
                <c:pt idx="3">
                  <c:v>General practice</c:v>
                </c:pt>
                <c:pt idx="4">
                  <c:v>Administration</c:v>
                </c:pt>
                <c:pt idx="5">
                  <c:v>Prison mental health service</c:v>
                </c:pt>
                <c:pt idx="6">
                  <c:v>Psychologist/
psychotherapist</c:v>
                </c:pt>
                <c:pt idx="7">
                  <c:v>Community mental health service</c:v>
                </c:pt>
                <c:pt idx="8">
                  <c:v>Psychiatrists/
psychiatry</c:v>
                </c:pt>
              </c:strCache>
            </c:strRef>
          </c:cat>
          <c:val>
            <c:numRef>
              <c:f>Sheet1!$B$2:$B$10</c:f>
              <c:numCache>
                <c:formatCode>###0.0</c:formatCode>
                <c:ptCount val="9"/>
                <c:pt idx="0">
                  <c:v>2.5210084033613445</c:v>
                </c:pt>
                <c:pt idx="1">
                  <c:v>3.6414565826330536</c:v>
                </c:pt>
                <c:pt idx="2">
                  <c:v>3.3613445378151261</c:v>
                </c:pt>
                <c:pt idx="3" formatCode="####.0">
                  <c:v>0.84033613445378152</c:v>
                </c:pt>
                <c:pt idx="4">
                  <c:v>1.1204481792717087</c:v>
                </c:pt>
                <c:pt idx="5">
                  <c:v>12.324929971988796</c:v>
                </c:pt>
                <c:pt idx="6">
                  <c:v>3.9215686274509802</c:v>
                </c:pt>
                <c:pt idx="7">
                  <c:v>1.680672268907563</c:v>
                </c:pt>
                <c:pt idx="8">
                  <c:v>70.588235294117652</c:v>
                </c:pt>
              </c:numCache>
            </c:numRef>
          </c:val>
        </c:ser>
        <c:ser>
          <c:idx val="1"/>
          <c:order val="1"/>
          <c:tx>
            <c:strRef>
              <c:f>Sheet1!$C$1</c:f>
              <c:strCache>
                <c:ptCount val="1"/>
                <c:pt idx="0">
                  <c:v>2016-17 (n=377)</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Sheet1!$A$2:$A$10</c:f>
              <c:strCache>
                <c:ptCount val="9"/>
                <c:pt idx="0">
                  <c:v>Other</c:v>
                </c:pt>
                <c:pt idx="1">
                  <c:v>Mental health nurse</c:v>
                </c:pt>
                <c:pt idx="2">
                  <c:v>Counsellor/counselling</c:v>
                </c:pt>
                <c:pt idx="3">
                  <c:v>General practice</c:v>
                </c:pt>
                <c:pt idx="4">
                  <c:v>Administration</c:v>
                </c:pt>
                <c:pt idx="5">
                  <c:v>Prison mental health service</c:v>
                </c:pt>
                <c:pt idx="6">
                  <c:v>Psychologist/
psychotherapist</c:v>
                </c:pt>
                <c:pt idx="7">
                  <c:v>Community mental health service</c:v>
                </c:pt>
                <c:pt idx="8">
                  <c:v>Psychiatrists/
psychiatry</c:v>
                </c:pt>
              </c:strCache>
            </c:strRef>
          </c:cat>
          <c:val>
            <c:numRef>
              <c:f>Sheet1!$C$2:$C$10</c:f>
              <c:numCache>
                <c:formatCode>###0.0</c:formatCode>
                <c:ptCount val="9"/>
                <c:pt idx="0">
                  <c:v>4.2</c:v>
                </c:pt>
                <c:pt idx="1">
                  <c:v>1.0610079575596816</c:v>
                </c:pt>
                <c:pt idx="2">
                  <c:v>1.0610079575596816</c:v>
                </c:pt>
                <c:pt idx="3">
                  <c:v>2.6525198938992043</c:v>
                </c:pt>
                <c:pt idx="4">
                  <c:v>5.3050397877984086</c:v>
                </c:pt>
                <c:pt idx="5">
                  <c:v>11.140583554376658</c:v>
                </c:pt>
                <c:pt idx="6">
                  <c:v>4.5092838196286467</c:v>
                </c:pt>
                <c:pt idx="7">
                  <c:v>11.140583554376658</c:v>
                </c:pt>
                <c:pt idx="8">
                  <c:v>58.885941644562337</c:v>
                </c:pt>
              </c:numCache>
            </c:numRef>
          </c:val>
        </c:ser>
        <c:ser>
          <c:idx val="2"/>
          <c:order val="2"/>
          <c:tx>
            <c:strRef>
              <c:f>Sheet1!$D$1</c:f>
              <c:strCache>
                <c:ptCount val="1"/>
                <c:pt idx="0">
                  <c:v>2017-18 (n=361)</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Sheet1!$A$2:$A$10</c:f>
              <c:strCache>
                <c:ptCount val="9"/>
                <c:pt idx="0">
                  <c:v>Other</c:v>
                </c:pt>
                <c:pt idx="1">
                  <c:v>Mental health nurse</c:v>
                </c:pt>
                <c:pt idx="2">
                  <c:v>Counsellor/counselling</c:v>
                </c:pt>
                <c:pt idx="3">
                  <c:v>General practice</c:v>
                </c:pt>
                <c:pt idx="4">
                  <c:v>Administration</c:v>
                </c:pt>
                <c:pt idx="5">
                  <c:v>Prison mental health service</c:v>
                </c:pt>
                <c:pt idx="6">
                  <c:v>Psychologist/
psychotherapist</c:v>
                </c:pt>
                <c:pt idx="7">
                  <c:v>Community mental health service</c:v>
                </c:pt>
                <c:pt idx="8">
                  <c:v>Psychiatrists/
psychiatry</c:v>
                </c:pt>
              </c:strCache>
            </c:strRef>
          </c:cat>
          <c:val>
            <c:numRef>
              <c:f>Sheet1!$D$2:$D$10</c:f>
              <c:numCache>
                <c:formatCode>###0.0</c:formatCode>
                <c:ptCount val="9"/>
                <c:pt idx="0">
                  <c:v>2.2000000000000002</c:v>
                </c:pt>
                <c:pt idx="1">
                  <c:v>0.8</c:v>
                </c:pt>
                <c:pt idx="2">
                  <c:v>1.4</c:v>
                </c:pt>
                <c:pt idx="3">
                  <c:v>1.7</c:v>
                </c:pt>
                <c:pt idx="4">
                  <c:v>2.2000000000000002</c:v>
                </c:pt>
                <c:pt idx="5">
                  <c:v>6.6</c:v>
                </c:pt>
                <c:pt idx="6">
                  <c:v>7.8</c:v>
                </c:pt>
                <c:pt idx="7">
                  <c:v>12.2</c:v>
                </c:pt>
                <c:pt idx="8">
                  <c:v>65.400000000000006</c:v>
                </c:pt>
              </c:numCache>
            </c:numRef>
          </c:val>
        </c:ser>
        <c:dLbls>
          <c:dLblPos val="outEnd"/>
          <c:showLegendKey val="0"/>
          <c:showVal val="1"/>
          <c:showCatName val="0"/>
          <c:showSerName val="0"/>
          <c:showPercent val="0"/>
          <c:showBubbleSize val="0"/>
        </c:dLbls>
        <c:gapWidth val="65"/>
        <c:overlap val="-15"/>
        <c:axId val="84513536"/>
        <c:axId val="84515072"/>
      </c:barChart>
      <c:catAx>
        <c:axId val="84513536"/>
        <c:scaling>
          <c:orientation val="minMax"/>
        </c:scaling>
        <c:delete val="0"/>
        <c:axPos val="l"/>
        <c:majorTickMark val="out"/>
        <c:minorTickMark val="none"/>
        <c:tickLblPos val="nextTo"/>
        <c:crossAx val="84515072"/>
        <c:crosses val="autoZero"/>
        <c:auto val="1"/>
        <c:lblAlgn val="ctr"/>
        <c:lblOffset val="100"/>
        <c:noMultiLvlLbl val="0"/>
      </c:catAx>
      <c:valAx>
        <c:axId val="84515072"/>
        <c:scaling>
          <c:orientation val="minMax"/>
          <c:max val="80"/>
        </c:scaling>
        <c:delete val="1"/>
        <c:axPos val="b"/>
        <c:numFmt formatCode="0\%" sourceLinked="0"/>
        <c:majorTickMark val="out"/>
        <c:minorTickMark val="none"/>
        <c:tickLblPos val="nextTo"/>
        <c:crossAx val="84513536"/>
        <c:crosses val="autoZero"/>
        <c:crossBetween val="between"/>
        <c:majorUnit val="20"/>
        <c:minorUnit val="20"/>
      </c:valAx>
    </c:plotArea>
    <c:legend>
      <c:legendPos val="r"/>
      <c:layout>
        <c:manualLayout>
          <c:xMode val="edge"/>
          <c:yMode val="edge"/>
          <c:x val="0.64244499173286163"/>
          <c:y val="0.66572891757826091"/>
          <c:w val="0.24512554057015787"/>
          <c:h val="0.14934991988145901"/>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5888518742849455E-2"/>
          <c:y val="1.8193469027631536E-2"/>
          <c:w val="0.95060720775287699"/>
          <c:h val="0.71340013395545332"/>
        </c:manualLayout>
      </c:layout>
      <c:barChart>
        <c:barDir val="col"/>
        <c:grouping val="clustered"/>
        <c:varyColors val="0"/>
        <c:ser>
          <c:idx val="0"/>
          <c:order val="0"/>
          <c:tx>
            <c:strRef>
              <c:f>Sheet1!$B$1</c:f>
              <c:strCache>
                <c:ptCount val="1"/>
                <c:pt idx="0">
                  <c:v>Complaints brought forward by HaDSCO</c:v>
                </c:pt>
              </c:strCache>
            </c:strRef>
          </c:tx>
          <c:spPr>
            <a:solidFill>
              <a:schemeClr val="bg1">
                <a:lumMod val="75000"/>
              </a:schemeClr>
            </a:solidFill>
            <a:ln>
              <a:noFill/>
            </a:ln>
          </c:spPr>
          <c:invertIfNegative val="0"/>
          <c:cat>
            <c:strRef>
              <c:f>Sheet1!$A$2:$A$5</c:f>
              <c:strCache>
                <c:ptCount val="4"/>
                <c:pt idx="0">
                  <c:v>Managed by HaDSCO</c:v>
                </c:pt>
                <c:pt idx="1">
                  <c:v>Managed by AHPRA</c:v>
                </c:pt>
                <c:pt idx="2">
                  <c:v>Split between agencies</c:v>
                </c:pt>
                <c:pt idx="3">
                  <c:v>Pending further assessment by AHPRA</c:v>
                </c:pt>
              </c:strCache>
            </c:strRef>
          </c:cat>
          <c:val>
            <c:numRef>
              <c:f>Sheet1!$B$2:$B$5</c:f>
              <c:numCache>
                <c:formatCode>General</c:formatCode>
                <c:ptCount val="4"/>
                <c:pt idx="0">
                  <c:v>67</c:v>
                </c:pt>
                <c:pt idx="1">
                  <c:v>69</c:v>
                </c:pt>
                <c:pt idx="2">
                  <c:v>3</c:v>
                </c:pt>
                <c:pt idx="3">
                  <c:v>0</c:v>
                </c:pt>
              </c:numCache>
            </c:numRef>
          </c:val>
        </c:ser>
        <c:ser>
          <c:idx val="1"/>
          <c:order val="1"/>
          <c:tx>
            <c:strRef>
              <c:f>Sheet1!$C$1</c:f>
              <c:strCache>
                <c:ptCount val="1"/>
                <c:pt idx="0">
                  <c:v>Complaints brought forward by AHPRA</c:v>
                </c:pt>
              </c:strCache>
            </c:strRef>
          </c:tx>
          <c:spPr>
            <a:pattFill prst="pct75">
              <a:fgClr>
                <a:srgbClr val="04425E"/>
              </a:fgClr>
              <a:bgClr>
                <a:schemeClr val="bg1">
                  <a:lumMod val="75000"/>
                </a:schemeClr>
              </a:bgClr>
            </a:pattFill>
            <a:ln>
              <a:noFill/>
            </a:ln>
          </c:spPr>
          <c:invertIfNegative val="0"/>
          <c:cat>
            <c:strRef>
              <c:f>Sheet1!$A$2:$A$5</c:f>
              <c:strCache>
                <c:ptCount val="4"/>
                <c:pt idx="0">
                  <c:v>Managed by HaDSCO</c:v>
                </c:pt>
                <c:pt idx="1">
                  <c:v>Managed by AHPRA</c:v>
                </c:pt>
                <c:pt idx="2">
                  <c:v>Split between agencies</c:v>
                </c:pt>
                <c:pt idx="3">
                  <c:v>Pending further assessment by AHPRA</c:v>
                </c:pt>
              </c:strCache>
            </c:strRef>
          </c:cat>
          <c:val>
            <c:numRef>
              <c:f>Sheet1!$C$2:$C$5</c:f>
              <c:numCache>
                <c:formatCode>General</c:formatCode>
                <c:ptCount val="4"/>
                <c:pt idx="0">
                  <c:v>12</c:v>
                </c:pt>
                <c:pt idx="1">
                  <c:v>122</c:v>
                </c:pt>
                <c:pt idx="2">
                  <c:v>5</c:v>
                </c:pt>
                <c:pt idx="3">
                  <c:v>45</c:v>
                </c:pt>
              </c:numCache>
            </c:numRef>
          </c:val>
        </c:ser>
        <c:dLbls>
          <c:dLblPos val="outEnd"/>
          <c:showLegendKey val="0"/>
          <c:showVal val="1"/>
          <c:showCatName val="0"/>
          <c:showSerName val="0"/>
          <c:showPercent val="0"/>
          <c:showBubbleSize val="0"/>
        </c:dLbls>
        <c:gapWidth val="110"/>
        <c:overlap val="-10"/>
        <c:axId val="147250560"/>
        <c:axId val="148502016"/>
      </c:barChart>
      <c:catAx>
        <c:axId val="147250560"/>
        <c:scaling>
          <c:orientation val="minMax"/>
        </c:scaling>
        <c:delete val="0"/>
        <c:axPos val="b"/>
        <c:majorTickMark val="out"/>
        <c:minorTickMark val="none"/>
        <c:tickLblPos val="nextTo"/>
        <c:crossAx val="148502016"/>
        <c:crosses val="autoZero"/>
        <c:auto val="1"/>
        <c:lblAlgn val="ctr"/>
        <c:lblOffset val="100"/>
        <c:noMultiLvlLbl val="0"/>
      </c:catAx>
      <c:valAx>
        <c:axId val="148502016"/>
        <c:scaling>
          <c:orientation val="minMax"/>
        </c:scaling>
        <c:delete val="1"/>
        <c:axPos val="l"/>
        <c:numFmt formatCode="0\%" sourceLinked="0"/>
        <c:majorTickMark val="out"/>
        <c:minorTickMark val="none"/>
        <c:tickLblPos val="nextTo"/>
        <c:crossAx val="147250560"/>
        <c:crosses val="autoZero"/>
        <c:crossBetween val="between"/>
      </c:valAx>
    </c:plotArea>
    <c:legend>
      <c:legendPos val="b"/>
      <c:overlay val="0"/>
    </c:legend>
    <c:plotVisOnly val="1"/>
    <c:dispBlanksAs val="gap"/>
    <c:showDLblsOverMax val="0"/>
  </c:chart>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1.6771488469601678E-2"/>
          <c:y val="0.22373220588805709"/>
          <c:w val="0.96844585541643846"/>
          <c:h val="0.62052571014830038"/>
        </c:manualLayout>
      </c:layout>
      <c:barChart>
        <c:barDir val="col"/>
        <c:grouping val="clustered"/>
        <c:varyColors val="0"/>
        <c:ser>
          <c:idx val="0"/>
          <c:order val="0"/>
          <c:tx>
            <c:strRef>
              <c:f>Sheet1!$B$1</c:f>
              <c:strCache>
                <c:ptCount val="1"/>
                <c:pt idx="0">
                  <c:v>2015-16 (n=635)</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Sheet1!$A$2:$A$3</c:f>
              <c:strCache>
                <c:ptCount val="2"/>
                <c:pt idx="0">
                  <c:v>Self</c:v>
                </c:pt>
                <c:pt idx="1">
                  <c:v>Representative</c:v>
                </c:pt>
              </c:strCache>
            </c:strRef>
          </c:cat>
          <c:val>
            <c:numRef>
              <c:f>Sheet1!$B$2:$B$3</c:f>
              <c:numCache>
                <c:formatCode>General</c:formatCode>
                <c:ptCount val="2"/>
                <c:pt idx="0">
                  <c:v>65</c:v>
                </c:pt>
                <c:pt idx="1">
                  <c:v>35</c:v>
                </c:pt>
              </c:numCache>
            </c:numRef>
          </c:val>
        </c:ser>
        <c:ser>
          <c:idx val="1"/>
          <c:order val="1"/>
          <c:tx>
            <c:strRef>
              <c:f>Sheet1!$C$1</c:f>
              <c:strCache>
                <c:ptCount val="1"/>
                <c:pt idx="0">
                  <c:v>2016-17 (n=458)</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Sheet1!$A$2:$A$3</c:f>
              <c:strCache>
                <c:ptCount val="2"/>
                <c:pt idx="0">
                  <c:v>Self</c:v>
                </c:pt>
                <c:pt idx="1">
                  <c:v>Representative</c:v>
                </c:pt>
              </c:strCache>
            </c:strRef>
          </c:cat>
          <c:val>
            <c:numRef>
              <c:f>Sheet1!$C$2:$C$3</c:f>
              <c:numCache>
                <c:formatCode>General</c:formatCode>
                <c:ptCount val="2"/>
                <c:pt idx="0">
                  <c:v>61</c:v>
                </c:pt>
                <c:pt idx="1">
                  <c:v>39</c:v>
                </c:pt>
              </c:numCache>
            </c:numRef>
          </c:val>
        </c:ser>
        <c:ser>
          <c:idx val="2"/>
          <c:order val="2"/>
          <c:tx>
            <c:strRef>
              <c:f>Sheet1!$D$1</c:f>
              <c:strCache>
                <c:ptCount val="1"/>
                <c:pt idx="0">
                  <c:v>2017-18 (n=429)</c:v>
                </c:pt>
              </c:strCache>
            </c:strRef>
          </c:tx>
          <c:spPr>
            <a:solidFill>
              <a:schemeClr val="bg1">
                <a:lumMod val="75000"/>
              </a:schemeClr>
            </a:solidFill>
            <a:ln>
              <a:solidFill>
                <a:schemeClr val="bg1">
                  <a:lumMod val="75000"/>
                </a:schemeClr>
              </a:solidFill>
            </a:ln>
          </c:spPr>
          <c:invertIfNegative val="0"/>
          <c:dLbls>
            <c:numFmt formatCode="0\%" sourceLinked="0"/>
            <c:dLblPos val="outEnd"/>
            <c:showLegendKey val="0"/>
            <c:showVal val="1"/>
            <c:showCatName val="0"/>
            <c:showSerName val="0"/>
            <c:showPercent val="0"/>
            <c:showBubbleSize val="0"/>
            <c:showLeaderLines val="0"/>
          </c:dLbls>
          <c:cat>
            <c:strRef>
              <c:f>Sheet1!$A$2:$A$3</c:f>
              <c:strCache>
                <c:ptCount val="2"/>
                <c:pt idx="0">
                  <c:v>Self</c:v>
                </c:pt>
                <c:pt idx="1">
                  <c:v>Representative</c:v>
                </c:pt>
              </c:strCache>
            </c:strRef>
          </c:cat>
          <c:val>
            <c:numRef>
              <c:f>Sheet1!$D$2:$D$3</c:f>
              <c:numCache>
                <c:formatCode>General</c:formatCode>
                <c:ptCount val="2"/>
                <c:pt idx="0">
                  <c:v>51</c:v>
                </c:pt>
                <c:pt idx="1">
                  <c:v>49</c:v>
                </c:pt>
              </c:numCache>
            </c:numRef>
          </c:val>
        </c:ser>
        <c:dLbls>
          <c:dLblPos val="outEnd"/>
          <c:showLegendKey val="0"/>
          <c:showVal val="1"/>
          <c:showCatName val="0"/>
          <c:showSerName val="0"/>
          <c:showPercent val="0"/>
          <c:showBubbleSize val="0"/>
        </c:dLbls>
        <c:gapWidth val="150"/>
        <c:overlap val="-10"/>
        <c:axId val="84816640"/>
        <c:axId val="84818176"/>
      </c:barChart>
      <c:catAx>
        <c:axId val="84816640"/>
        <c:scaling>
          <c:orientation val="minMax"/>
        </c:scaling>
        <c:delete val="0"/>
        <c:axPos val="b"/>
        <c:majorTickMark val="out"/>
        <c:minorTickMark val="none"/>
        <c:tickLblPos val="nextTo"/>
        <c:crossAx val="84818176"/>
        <c:crosses val="autoZero"/>
        <c:auto val="1"/>
        <c:lblAlgn val="ctr"/>
        <c:lblOffset val="100"/>
        <c:noMultiLvlLbl val="0"/>
      </c:catAx>
      <c:valAx>
        <c:axId val="84818176"/>
        <c:scaling>
          <c:orientation val="minMax"/>
          <c:max val="80"/>
        </c:scaling>
        <c:delete val="1"/>
        <c:axPos val="l"/>
        <c:numFmt formatCode="0\%" sourceLinked="0"/>
        <c:majorTickMark val="out"/>
        <c:minorTickMark val="none"/>
        <c:tickLblPos val="nextTo"/>
        <c:crossAx val="84816640"/>
        <c:crosses val="autoZero"/>
        <c:crossBetween val="between"/>
        <c:majorUnit val="20"/>
        <c:minorUnit val="20"/>
      </c:valAx>
    </c:plotArea>
    <c:legend>
      <c:legendPos val="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157109990880768"/>
          <c:y val="1.4581000132095085E-2"/>
          <c:w val="0.5482353594689553"/>
          <c:h val="0.96026323351916765"/>
        </c:manualLayout>
      </c:layout>
      <c:barChart>
        <c:barDir val="bar"/>
        <c:grouping val="clustered"/>
        <c:varyColors val="0"/>
        <c:ser>
          <c:idx val="0"/>
          <c:order val="0"/>
          <c:tx>
            <c:strRef>
              <c:f>Sheet1!$B$1</c:f>
              <c:strCache>
                <c:ptCount val="1"/>
                <c:pt idx="0">
                  <c:v>2015-16 (n=635)</c:v>
                </c:pt>
              </c:strCache>
            </c:strRef>
          </c:tx>
          <c:spPr>
            <a:solidFill>
              <a:srgbClr val="2487C4"/>
            </a:solidFill>
            <a:ln>
              <a:solidFill>
                <a:srgbClr val="2487C4"/>
              </a:solidFill>
            </a:ln>
          </c:spPr>
          <c:invertIfNegative val="0"/>
          <c:dLbls>
            <c:dLbl>
              <c:idx val="0"/>
              <c:layout/>
              <c:tx>
                <c:rich>
                  <a:bodyPr/>
                  <a:lstStyle/>
                  <a:p>
                    <a:r>
                      <a:rPr lang="en-US"/>
                      <a:t>0%</a:t>
                    </a:r>
                  </a:p>
                </c:rich>
              </c:tx>
              <c:dLblPos val="outEnd"/>
              <c:showLegendKey val="0"/>
              <c:showVal val="1"/>
              <c:showCatName val="0"/>
              <c:showSerName val="0"/>
              <c:showPercent val="0"/>
              <c:showBubbleSize val="0"/>
            </c:dLbl>
            <c:dLbl>
              <c:idx val="2"/>
              <c:layout/>
              <c:tx>
                <c:rich>
                  <a:bodyPr/>
                  <a:lstStyle/>
                  <a:p>
                    <a:r>
                      <a:rPr lang="en-US"/>
                      <a:t>0%</a:t>
                    </a:r>
                  </a:p>
                </c:rich>
              </c:tx>
              <c:dLblPos val="outEnd"/>
              <c:showLegendKey val="0"/>
              <c:showVal val="1"/>
              <c:showCatName val="0"/>
              <c:showSerName val="0"/>
              <c:showPercent val="0"/>
              <c:showBubbleSize val="0"/>
            </c:dLbl>
            <c:dLbl>
              <c:idx val="3"/>
              <c:layout/>
              <c:tx>
                <c:rich>
                  <a:bodyPr/>
                  <a:lstStyle/>
                  <a:p>
                    <a:r>
                      <a:rPr lang="en-US"/>
                      <a:t>&lt;1%</a:t>
                    </a:r>
                  </a:p>
                </c:rich>
              </c:tx>
              <c:dLblPos val="outEnd"/>
              <c:showLegendKey val="0"/>
              <c:showVal val="1"/>
              <c:showCatName val="0"/>
              <c:showSerName val="0"/>
              <c:showPercent val="0"/>
              <c:showBubbleSize val="0"/>
            </c:dLbl>
            <c:dLbl>
              <c:idx val="4"/>
              <c:layout/>
              <c:tx>
                <c:rich>
                  <a:bodyPr/>
                  <a:lstStyle/>
                  <a:p>
                    <a:r>
                      <a:rPr lang="en-US"/>
                      <a:t>&lt;1%</a:t>
                    </a:r>
                  </a:p>
                </c:rich>
              </c:tx>
              <c:dLblPos val="outEnd"/>
              <c:showLegendKey val="0"/>
              <c:showVal val="1"/>
              <c:showCatName val="0"/>
              <c:showSerName val="0"/>
              <c:showPercent val="0"/>
              <c:showBubbleSize val="0"/>
            </c:dLbl>
            <c:dLbl>
              <c:idx val="5"/>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Sheet1!$A$2:$A$12</c:f>
              <c:strCache>
                <c:ptCount val="11"/>
                <c:pt idx="0">
                  <c:v>Complaint not yet resolved</c:v>
                </c:pt>
                <c:pt idx="1">
                  <c:v>Unknown time taken to resolve complaint</c:v>
                </c:pt>
                <c:pt idx="2">
                  <c:v>211+ days</c:v>
                </c:pt>
                <c:pt idx="3">
                  <c:v>181-210 days</c:v>
                </c:pt>
                <c:pt idx="4">
                  <c:v>151-180 days</c:v>
                </c:pt>
                <c:pt idx="5">
                  <c:v>121-150 days</c:v>
                </c:pt>
                <c:pt idx="6">
                  <c:v>91-120 days</c:v>
                </c:pt>
                <c:pt idx="7">
                  <c:v>61-90 days</c:v>
                </c:pt>
                <c:pt idx="8">
                  <c:v>31-60 days</c:v>
                </c:pt>
                <c:pt idx="9">
                  <c:v>16-30 days</c:v>
                </c:pt>
                <c:pt idx="10">
                  <c:v>0-15 days</c:v>
                </c:pt>
              </c:strCache>
            </c:strRef>
          </c:cat>
          <c:val>
            <c:numRef>
              <c:f>Sheet1!$B$2:$B$12</c:f>
              <c:numCache>
                <c:formatCode>###0.0</c:formatCode>
                <c:ptCount val="11"/>
                <c:pt idx="0">
                  <c:v>0</c:v>
                </c:pt>
                <c:pt idx="1">
                  <c:v>5.1968503937007871</c:v>
                </c:pt>
                <c:pt idx="2">
                  <c:v>0</c:v>
                </c:pt>
                <c:pt idx="3">
                  <c:v>0.15748031496062992</c:v>
                </c:pt>
                <c:pt idx="4">
                  <c:v>0.47244094488188976</c:v>
                </c:pt>
                <c:pt idx="5">
                  <c:v>0.47244094488188976</c:v>
                </c:pt>
                <c:pt idx="6">
                  <c:v>1.4173228346456692</c:v>
                </c:pt>
                <c:pt idx="7">
                  <c:v>2.5196850393700787</c:v>
                </c:pt>
                <c:pt idx="8">
                  <c:v>13.543307086614172</c:v>
                </c:pt>
                <c:pt idx="9">
                  <c:v>27.716535433070867</c:v>
                </c:pt>
                <c:pt idx="10">
                  <c:v>48.503937007874015</c:v>
                </c:pt>
              </c:numCache>
            </c:numRef>
          </c:val>
        </c:ser>
        <c:ser>
          <c:idx val="1"/>
          <c:order val="1"/>
          <c:tx>
            <c:strRef>
              <c:f>Sheet1!$C$1</c:f>
              <c:strCache>
                <c:ptCount val="1"/>
                <c:pt idx="0">
                  <c:v>2016-17 (n=458)</c:v>
                </c:pt>
              </c:strCache>
            </c:strRef>
          </c:tx>
          <c:spPr>
            <a:solidFill>
              <a:srgbClr val="04425E"/>
            </a:solidFill>
            <a:ln>
              <a:solidFill>
                <a:srgbClr val="04425E"/>
              </a:solidFill>
            </a:ln>
          </c:spPr>
          <c:invertIfNegative val="0"/>
          <c:dLbls>
            <c:dLbl>
              <c:idx val="2"/>
              <c:layout/>
              <c:tx>
                <c:rich>
                  <a:bodyPr/>
                  <a:lstStyle/>
                  <a:p>
                    <a:r>
                      <a:rPr lang="en-US"/>
                      <a:t>0%</a:t>
                    </a:r>
                  </a:p>
                </c:rich>
              </c:tx>
              <c:dLblPos val="outEnd"/>
              <c:showLegendKey val="0"/>
              <c:showVal val="1"/>
              <c:showCatName val="0"/>
              <c:showSerName val="0"/>
              <c:showPercent val="0"/>
              <c:showBubbleSize val="0"/>
            </c:dLbl>
            <c:dLbl>
              <c:idx val="3"/>
              <c:layout/>
              <c:tx>
                <c:rich>
                  <a:bodyPr/>
                  <a:lstStyle/>
                  <a:p>
                    <a:r>
                      <a:rPr lang="en-US"/>
                      <a:t>&lt;1%</a:t>
                    </a:r>
                  </a:p>
                </c:rich>
              </c:tx>
              <c:dLblPos val="outEnd"/>
              <c:showLegendKey val="0"/>
              <c:showVal val="1"/>
              <c:showCatName val="0"/>
              <c:showSerName val="0"/>
              <c:showPercent val="0"/>
              <c:showBubbleSize val="0"/>
            </c:dLbl>
            <c:dLbl>
              <c:idx val="4"/>
              <c:layout/>
              <c:tx>
                <c:rich>
                  <a:bodyPr/>
                  <a:lstStyle/>
                  <a:p>
                    <a:r>
                      <a:rPr lang="en-US"/>
                      <a:t>0%</a:t>
                    </a:r>
                  </a:p>
                </c:rich>
              </c:tx>
              <c:dLblPos val="outEnd"/>
              <c:showLegendKey val="0"/>
              <c:showVal val="1"/>
              <c:showCatName val="0"/>
              <c:showSerName val="0"/>
              <c:showPercent val="0"/>
              <c:showBubbleSize val="0"/>
            </c:dLbl>
            <c:dLbl>
              <c:idx val="5"/>
              <c:layout/>
              <c:tx>
                <c:rich>
                  <a:bodyPr/>
                  <a:lstStyle/>
                  <a:p>
                    <a:r>
                      <a:rPr lang="en-US"/>
                      <a:t>&lt;1%</a:t>
                    </a:r>
                  </a:p>
                </c:rich>
              </c:tx>
              <c:dLblPos val="outEnd"/>
              <c:showLegendKey val="0"/>
              <c:showVal val="1"/>
              <c:showCatName val="0"/>
              <c:showSerName val="0"/>
              <c:showPercent val="0"/>
              <c:showBubbleSize val="0"/>
            </c:dLbl>
            <c:dLbl>
              <c:idx val="6"/>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Sheet1!$A$2:$A$12</c:f>
              <c:strCache>
                <c:ptCount val="11"/>
                <c:pt idx="0">
                  <c:v>Complaint not yet resolved</c:v>
                </c:pt>
                <c:pt idx="1">
                  <c:v>Unknown time taken to resolve complaint</c:v>
                </c:pt>
                <c:pt idx="2">
                  <c:v>211+ days</c:v>
                </c:pt>
                <c:pt idx="3">
                  <c:v>181-210 days</c:v>
                </c:pt>
                <c:pt idx="4">
                  <c:v>151-180 days</c:v>
                </c:pt>
                <c:pt idx="5">
                  <c:v>121-150 days</c:v>
                </c:pt>
                <c:pt idx="6">
                  <c:v>91-120 days</c:v>
                </c:pt>
                <c:pt idx="7">
                  <c:v>61-90 days</c:v>
                </c:pt>
                <c:pt idx="8">
                  <c:v>31-60 days</c:v>
                </c:pt>
                <c:pt idx="9">
                  <c:v>16-30 days</c:v>
                </c:pt>
                <c:pt idx="10">
                  <c:v>0-15 days</c:v>
                </c:pt>
              </c:strCache>
            </c:strRef>
          </c:cat>
          <c:val>
            <c:numRef>
              <c:f>Sheet1!$C$2:$C$12</c:f>
              <c:numCache>
                <c:formatCode>###0.0</c:formatCode>
                <c:ptCount val="11"/>
                <c:pt idx="0">
                  <c:v>6.9716775599128544</c:v>
                </c:pt>
                <c:pt idx="1">
                  <c:v>1.9607843137254901</c:v>
                </c:pt>
                <c:pt idx="2">
                  <c:v>0</c:v>
                </c:pt>
                <c:pt idx="3">
                  <c:v>0.2178649237472767</c:v>
                </c:pt>
                <c:pt idx="4">
                  <c:v>0</c:v>
                </c:pt>
                <c:pt idx="5">
                  <c:v>0.4357298474945534</c:v>
                </c:pt>
                <c:pt idx="6">
                  <c:v>0.4357298474945534</c:v>
                </c:pt>
                <c:pt idx="7">
                  <c:v>3.9215686274509802</c:v>
                </c:pt>
                <c:pt idx="8">
                  <c:v>19.607843137254903</c:v>
                </c:pt>
                <c:pt idx="9">
                  <c:v>26.361655773420477</c:v>
                </c:pt>
                <c:pt idx="10">
                  <c:v>40.087145969498913</c:v>
                </c:pt>
              </c:numCache>
            </c:numRef>
          </c:val>
        </c:ser>
        <c:ser>
          <c:idx val="2"/>
          <c:order val="2"/>
          <c:tx>
            <c:strRef>
              <c:f>Sheet1!$D$1</c:f>
              <c:strCache>
                <c:ptCount val="1"/>
                <c:pt idx="0">
                  <c:v>2017-18 (n=429)</c:v>
                </c:pt>
              </c:strCache>
            </c:strRef>
          </c:tx>
          <c:spPr>
            <a:solidFill>
              <a:schemeClr val="bg1">
                <a:lumMod val="75000"/>
              </a:schemeClr>
            </a:solidFill>
            <a:ln>
              <a:solidFill>
                <a:schemeClr val="bg1">
                  <a:lumMod val="75000"/>
                </a:schemeClr>
              </a:solidFill>
            </a:ln>
          </c:spPr>
          <c:invertIfNegative val="0"/>
          <c:dLbls>
            <c:dLbl>
              <c:idx val="6"/>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Sheet1!$A$2:$A$12</c:f>
              <c:strCache>
                <c:ptCount val="11"/>
                <c:pt idx="0">
                  <c:v>Complaint not yet resolved</c:v>
                </c:pt>
                <c:pt idx="1">
                  <c:v>Unknown time taken to resolve complaint</c:v>
                </c:pt>
                <c:pt idx="2">
                  <c:v>211+ days</c:v>
                </c:pt>
                <c:pt idx="3">
                  <c:v>181-210 days</c:v>
                </c:pt>
                <c:pt idx="4">
                  <c:v>151-180 days</c:v>
                </c:pt>
                <c:pt idx="5">
                  <c:v>121-150 days</c:v>
                </c:pt>
                <c:pt idx="6">
                  <c:v>91-120 days</c:v>
                </c:pt>
                <c:pt idx="7">
                  <c:v>61-90 days</c:v>
                </c:pt>
                <c:pt idx="8">
                  <c:v>31-60 days</c:v>
                </c:pt>
                <c:pt idx="9">
                  <c:v>16-30 days</c:v>
                </c:pt>
                <c:pt idx="10">
                  <c:v>0-15 days</c:v>
                </c:pt>
              </c:strCache>
            </c:strRef>
          </c:cat>
          <c:val>
            <c:numRef>
              <c:f>Sheet1!$D$2:$D$12</c:f>
              <c:numCache>
                <c:formatCode>###0.0</c:formatCode>
                <c:ptCount val="11"/>
                <c:pt idx="0">
                  <c:v>0</c:v>
                </c:pt>
                <c:pt idx="1">
                  <c:v>4.9000000000000004</c:v>
                </c:pt>
                <c:pt idx="2">
                  <c:v>0</c:v>
                </c:pt>
                <c:pt idx="3">
                  <c:v>0</c:v>
                </c:pt>
                <c:pt idx="4">
                  <c:v>0</c:v>
                </c:pt>
                <c:pt idx="5">
                  <c:v>0</c:v>
                </c:pt>
                <c:pt idx="6">
                  <c:v>0.2</c:v>
                </c:pt>
                <c:pt idx="7">
                  <c:v>1.6</c:v>
                </c:pt>
                <c:pt idx="8">
                  <c:v>17.7</c:v>
                </c:pt>
                <c:pt idx="9">
                  <c:v>32.6</c:v>
                </c:pt>
                <c:pt idx="10">
                  <c:v>42.9</c:v>
                </c:pt>
              </c:numCache>
            </c:numRef>
          </c:val>
        </c:ser>
        <c:dLbls>
          <c:dLblPos val="outEnd"/>
          <c:showLegendKey val="0"/>
          <c:showVal val="1"/>
          <c:showCatName val="0"/>
          <c:showSerName val="0"/>
          <c:showPercent val="0"/>
          <c:showBubbleSize val="0"/>
        </c:dLbls>
        <c:gapWidth val="50"/>
        <c:overlap val="-20"/>
        <c:axId val="85013632"/>
        <c:axId val="85015168"/>
      </c:barChart>
      <c:catAx>
        <c:axId val="85013632"/>
        <c:scaling>
          <c:orientation val="minMax"/>
        </c:scaling>
        <c:delete val="0"/>
        <c:axPos val="l"/>
        <c:majorTickMark val="out"/>
        <c:minorTickMark val="none"/>
        <c:tickLblPos val="nextTo"/>
        <c:crossAx val="85015168"/>
        <c:crosses val="autoZero"/>
        <c:auto val="1"/>
        <c:lblAlgn val="ctr"/>
        <c:lblOffset val="100"/>
        <c:noMultiLvlLbl val="0"/>
      </c:catAx>
      <c:valAx>
        <c:axId val="85015168"/>
        <c:scaling>
          <c:orientation val="minMax"/>
          <c:max val="60"/>
        </c:scaling>
        <c:delete val="1"/>
        <c:axPos val="b"/>
        <c:numFmt formatCode="0\%" sourceLinked="0"/>
        <c:majorTickMark val="out"/>
        <c:minorTickMark val="none"/>
        <c:tickLblPos val="nextTo"/>
        <c:crossAx val="85013632"/>
        <c:crosses val="autoZero"/>
        <c:crossBetween val="between"/>
        <c:majorUnit val="20"/>
        <c:minorUnit val="20"/>
      </c:valAx>
    </c:plotArea>
    <c:legend>
      <c:legendPos val="r"/>
      <c:layout>
        <c:manualLayout>
          <c:xMode val="edge"/>
          <c:yMode val="edge"/>
          <c:x val="0.69257194702514024"/>
          <c:y val="0.72114959434170955"/>
          <c:w val="0.23282955302229014"/>
          <c:h val="0.14934991988145901"/>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0157109990880768"/>
          <c:y val="2.175023350709392E-2"/>
          <c:w val="0.5482353594689553"/>
          <c:h val="0.95809958436893006"/>
        </c:manualLayout>
      </c:layout>
      <c:barChart>
        <c:barDir val="bar"/>
        <c:grouping val="clustered"/>
        <c:varyColors val="0"/>
        <c:ser>
          <c:idx val="0"/>
          <c:order val="0"/>
          <c:tx>
            <c:strRef>
              <c:f>Sheet1!$B$1</c:f>
              <c:strCache>
                <c:ptCount val="1"/>
                <c:pt idx="0">
                  <c:v>2015-16 (n=908)</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Grievances/complaint handling</c:v>
                </c:pt>
                <c:pt idx="1">
                  <c:v>Carers</c:v>
                </c:pt>
                <c:pt idx="2">
                  <c:v>Decision making</c:v>
                </c:pt>
                <c:pt idx="3">
                  <c:v>Costs</c:v>
                </c:pt>
                <c:pt idx="4">
                  <c:v>Misconduct</c:v>
                </c:pt>
                <c:pt idx="5">
                  <c:v>Corporate services</c:v>
                </c:pt>
                <c:pt idx="6">
                  <c:v>Rights, respect and dignity</c:v>
                </c:pt>
                <c:pt idx="7">
                  <c:v>Access</c:v>
                </c:pt>
                <c:pt idx="8">
                  <c:v>Communication</c:v>
                </c:pt>
                <c:pt idx="9">
                  <c:v>Quality of clinical care</c:v>
                </c:pt>
              </c:strCache>
            </c:strRef>
          </c:cat>
          <c:val>
            <c:numRef>
              <c:f>Sheet1!$B$2:$B$11</c:f>
              <c:numCache>
                <c:formatCode>0.0</c:formatCode>
                <c:ptCount val="10"/>
                <c:pt idx="0">
                  <c:v>1.6519823788546255</c:v>
                </c:pt>
                <c:pt idx="1">
                  <c:v>1.10132158590308</c:v>
                </c:pt>
                <c:pt idx="2">
                  <c:v>0.99118942731277537</c:v>
                </c:pt>
                <c:pt idx="3">
                  <c:v>5.286343612334802</c:v>
                </c:pt>
                <c:pt idx="4">
                  <c:v>2.5330396475770924</c:v>
                </c:pt>
                <c:pt idx="5">
                  <c:v>8.1497797356828183</c:v>
                </c:pt>
                <c:pt idx="6">
                  <c:v>16.409691629955947</c:v>
                </c:pt>
                <c:pt idx="7">
                  <c:v>9.030837004405285</c:v>
                </c:pt>
                <c:pt idx="8">
                  <c:v>21.916299559471366</c:v>
                </c:pt>
                <c:pt idx="9">
                  <c:v>32.929515418502206</c:v>
                </c:pt>
              </c:numCache>
            </c:numRef>
          </c:val>
        </c:ser>
        <c:ser>
          <c:idx val="1"/>
          <c:order val="1"/>
          <c:tx>
            <c:strRef>
              <c:f>Sheet1!$C$1</c:f>
              <c:strCache>
                <c:ptCount val="1"/>
                <c:pt idx="0">
                  <c:v>2016-17 (n=713)</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Grievances/complaint handling</c:v>
                </c:pt>
                <c:pt idx="1">
                  <c:v>Carers</c:v>
                </c:pt>
                <c:pt idx="2">
                  <c:v>Decision making</c:v>
                </c:pt>
                <c:pt idx="3">
                  <c:v>Costs</c:v>
                </c:pt>
                <c:pt idx="4">
                  <c:v>Misconduct</c:v>
                </c:pt>
                <c:pt idx="5">
                  <c:v>Corporate services</c:v>
                </c:pt>
                <c:pt idx="6">
                  <c:v>Rights, respect and dignity</c:v>
                </c:pt>
                <c:pt idx="7">
                  <c:v>Access</c:v>
                </c:pt>
                <c:pt idx="8">
                  <c:v>Communication</c:v>
                </c:pt>
                <c:pt idx="9">
                  <c:v>Quality of clinical care</c:v>
                </c:pt>
              </c:strCache>
            </c:strRef>
          </c:cat>
          <c:val>
            <c:numRef>
              <c:f>Sheet1!$C$2:$C$11</c:f>
              <c:numCache>
                <c:formatCode>0.0</c:formatCode>
                <c:ptCount val="10"/>
                <c:pt idx="0">
                  <c:v>2</c:v>
                </c:pt>
                <c:pt idx="1">
                  <c:v>1</c:v>
                </c:pt>
                <c:pt idx="2">
                  <c:v>2</c:v>
                </c:pt>
                <c:pt idx="3">
                  <c:v>4</c:v>
                </c:pt>
                <c:pt idx="4">
                  <c:v>4</c:v>
                </c:pt>
                <c:pt idx="5">
                  <c:v>4</c:v>
                </c:pt>
                <c:pt idx="6">
                  <c:v>15</c:v>
                </c:pt>
                <c:pt idx="7">
                  <c:v>8</c:v>
                </c:pt>
                <c:pt idx="8">
                  <c:v>25</c:v>
                </c:pt>
                <c:pt idx="9">
                  <c:v>35</c:v>
                </c:pt>
              </c:numCache>
            </c:numRef>
          </c:val>
        </c:ser>
        <c:ser>
          <c:idx val="2"/>
          <c:order val="2"/>
          <c:tx>
            <c:strRef>
              <c:f>Sheet1!$D$1</c:f>
              <c:strCache>
                <c:ptCount val="1"/>
                <c:pt idx="0">
                  <c:v>2017-18 (n=690)</c:v>
                </c:pt>
              </c:strCache>
            </c:strRef>
          </c:tx>
          <c:spPr>
            <a:solidFill>
              <a:schemeClr val="bg1">
                <a:lumMod val="75000"/>
              </a:schemeClr>
            </a:solidFill>
            <a:ln>
              <a:solidFill>
                <a:schemeClr val="bg1">
                  <a:lumMod val="75000"/>
                </a:schemeClr>
              </a:solidFill>
            </a:ln>
          </c:spPr>
          <c:invertIfNegative val="0"/>
          <c:dLbls>
            <c:numFmt formatCode="0\%" sourceLinked="0"/>
            <c:dLblPos val="outEnd"/>
            <c:showLegendKey val="0"/>
            <c:showVal val="1"/>
            <c:showCatName val="0"/>
            <c:showSerName val="0"/>
            <c:showPercent val="0"/>
            <c:showBubbleSize val="0"/>
            <c:showLeaderLines val="0"/>
          </c:dLbls>
          <c:cat>
            <c:strRef>
              <c:f>Sheet1!$A$2:$A$11</c:f>
              <c:strCache>
                <c:ptCount val="10"/>
                <c:pt idx="0">
                  <c:v>Grievances/complaint handling</c:v>
                </c:pt>
                <c:pt idx="1">
                  <c:v>Carers</c:v>
                </c:pt>
                <c:pt idx="2">
                  <c:v>Decision making</c:v>
                </c:pt>
                <c:pt idx="3">
                  <c:v>Costs</c:v>
                </c:pt>
                <c:pt idx="4">
                  <c:v>Misconduct</c:v>
                </c:pt>
                <c:pt idx="5">
                  <c:v>Corporate services</c:v>
                </c:pt>
                <c:pt idx="6">
                  <c:v>Rights, respect and dignity</c:v>
                </c:pt>
                <c:pt idx="7">
                  <c:v>Access</c:v>
                </c:pt>
                <c:pt idx="8">
                  <c:v>Communication</c:v>
                </c:pt>
                <c:pt idx="9">
                  <c:v>Quality of clinical care</c:v>
                </c:pt>
              </c:strCache>
            </c:strRef>
          </c:cat>
          <c:val>
            <c:numRef>
              <c:f>Sheet1!$D$2:$D$11</c:f>
              <c:numCache>
                <c:formatCode>0.0</c:formatCode>
                <c:ptCount val="10"/>
                <c:pt idx="0">
                  <c:v>1</c:v>
                </c:pt>
                <c:pt idx="1">
                  <c:v>1.3</c:v>
                </c:pt>
                <c:pt idx="2">
                  <c:v>1.7</c:v>
                </c:pt>
                <c:pt idx="3">
                  <c:v>4.3</c:v>
                </c:pt>
                <c:pt idx="4">
                  <c:v>5.8</c:v>
                </c:pt>
                <c:pt idx="5">
                  <c:v>6.7</c:v>
                </c:pt>
                <c:pt idx="6">
                  <c:v>11.2</c:v>
                </c:pt>
                <c:pt idx="7">
                  <c:v>12.8</c:v>
                </c:pt>
                <c:pt idx="8">
                  <c:v>23.6</c:v>
                </c:pt>
                <c:pt idx="9">
                  <c:v>31.6</c:v>
                </c:pt>
              </c:numCache>
            </c:numRef>
          </c:val>
        </c:ser>
        <c:dLbls>
          <c:dLblPos val="outEnd"/>
          <c:showLegendKey val="0"/>
          <c:showVal val="1"/>
          <c:showCatName val="0"/>
          <c:showSerName val="0"/>
          <c:showPercent val="0"/>
          <c:showBubbleSize val="0"/>
        </c:dLbls>
        <c:gapWidth val="60"/>
        <c:overlap val="-20"/>
        <c:axId val="85488768"/>
        <c:axId val="85490304"/>
      </c:barChart>
      <c:catAx>
        <c:axId val="85488768"/>
        <c:scaling>
          <c:orientation val="minMax"/>
        </c:scaling>
        <c:delete val="0"/>
        <c:axPos val="l"/>
        <c:majorTickMark val="out"/>
        <c:minorTickMark val="none"/>
        <c:tickLblPos val="nextTo"/>
        <c:crossAx val="85490304"/>
        <c:crosses val="autoZero"/>
        <c:auto val="1"/>
        <c:lblAlgn val="ctr"/>
        <c:lblOffset val="100"/>
        <c:noMultiLvlLbl val="0"/>
      </c:catAx>
      <c:valAx>
        <c:axId val="85490304"/>
        <c:scaling>
          <c:orientation val="minMax"/>
          <c:max val="60"/>
        </c:scaling>
        <c:delete val="1"/>
        <c:axPos val="b"/>
        <c:numFmt formatCode="0\%" sourceLinked="0"/>
        <c:majorTickMark val="out"/>
        <c:minorTickMark val="none"/>
        <c:tickLblPos val="nextTo"/>
        <c:crossAx val="85488768"/>
        <c:crosses val="autoZero"/>
        <c:crossBetween val="between"/>
        <c:majorUnit val="10"/>
        <c:minorUnit val="2"/>
      </c:valAx>
    </c:plotArea>
    <c:legend>
      <c:legendPos val="r"/>
      <c:layout>
        <c:manualLayout>
          <c:xMode val="edge"/>
          <c:yMode val="edge"/>
          <c:x val="0.69257194702514024"/>
          <c:y val="0.72114959434170955"/>
          <c:w val="0.23282955302229014"/>
          <c:h val="0.15547360680142772"/>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797323268475741"/>
          <c:y val="1.424305215436587E-2"/>
          <c:w val="0.4518331489555541"/>
          <c:h val="0.96899354087916045"/>
        </c:manualLayout>
      </c:layout>
      <c:barChart>
        <c:barDir val="bar"/>
        <c:grouping val="clustered"/>
        <c:varyColors val="0"/>
        <c:ser>
          <c:idx val="0"/>
          <c:order val="0"/>
          <c:tx>
            <c:strRef>
              <c:f>Sheet1!$B$1</c:f>
              <c:strCache>
                <c:ptCount val="1"/>
                <c:pt idx="0">
                  <c:v>2015-16% (n=1,048)</c:v>
                </c:pt>
              </c:strCache>
            </c:strRef>
          </c:tx>
          <c:spPr>
            <a:solidFill>
              <a:srgbClr val="2487C4"/>
            </a:solidFill>
            <a:ln>
              <a:solidFill>
                <a:srgbClr val="2487C4"/>
              </a:solidFill>
            </a:ln>
          </c:spPr>
          <c:invertIfNegative val="0"/>
          <c:dLbls>
            <c:dLbl>
              <c:idx val="4"/>
              <c:layout/>
              <c:tx>
                <c:rich>
                  <a:bodyPr/>
                  <a:lstStyle/>
                  <a:p>
                    <a:r>
                      <a:rPr lang="en-US"/>
                      <a:t>&lt;1%</a:t>
                    </a:r>
                  </a:p>
                </c:rich>
              </c:tx>
              <c:dLblPos val="outEnd"/>
              <c:showLegendKey val="0"/>
              <c:showVal val="1"/>
              <c:showCatName val="0"/>
              <c:showSerName val="0"/>
              <c:showPercent val="0"/>
              <c:showBubbleSize val="0"/>
            </c:dLbl>
            <c:dLbl>
              <c:idx val="5"/>
              <c:layout/>
              <c:tx>
                <c:rich>
                  <a:bodyPr/>
                  <a:lstStyle/>
                  <a:p>
                    <a:r>
                      <a:rPr lang="en-US"/>
                      <a:t>1%</a:t>
                    </a:r>
                  </a:p>
                </c:rich>
              </c:tx>
              <c:dLblPos val="outEnd"/>
              <c:showLegendKey val="0"/>
              <c:showVal val="1"/>
              <c:showCatName val="0"/>
              <c:showSerName val="0"/>
              <c:showPercent val="0"/>
              <c:showBubbleSize val="0"/>
            </c:dLbl>
            <c:dLbl>
              <c:idx val="6"/>
              <c:layout/>
              <c:tx>
                <c:rich>
                  <a:bodyPr/>
                  <a:lstStyle/>
                  <a:p>
                    <a:r>
                      <a:rPr lang="en-US"/>
                      <a:t>&lt;1%</a:t>
                    </a:r>
                  </a:p>
                </c:rich>
              </c:tx>
              <c:dLblPos val="outEnd"/>
              <c:showLegendKey val="0"/>
              <c:showVal val="1"/>
              <c:showCatName val="0"/>
              <c:showSerName val="0"/>
              <c:showPercent val="0"/>
              <c:showBubbleSize val="0"/>
            </c:dLbl>
            <c:dLbl>
              <c:idx val="7"/>
              <c:layout/>
              <c:tx>
                <c:rich>
                  <a:bodyPr/>
                  <a:lstStyle/>
                  <a:p>
                    <a:r>
                      <a:rPr lang="en-US"/>
                      <a: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Change in policy effected</c:v>
                </c:pt>
                <c:pt idx="5">
                  <c:v>Cost refunded/reduced</c:v>
                </c:pt>
                <c:pt idx="6">
                  <c:v>Agreement not reached</c:v>
                </c:pt>
                <c:pt idx="7">
                  <c:v>Service provided</c:v>
                </c:pt>
                <c:pt idx="8">
                  <c:v>Compensation paid</c:v>
                </c:pt>
                <c:pt idx="9">
                  <c:v>Change in practice/procedure effected</c:v>
                </c:pt>
                <c:pt idx="10">
                  <c:v>Complaint withdrawn by complainant</c:v>
                </c:pt>
                <c:pt idx="11">
                  <c:v>Counselling/performance support/development provided to staff member(s)/contractor(s)</c:v>
                </c:pt>
                <c:pt idx="12">
                  <c:v>Concern registered</c:v>
                </c:pt>
                <c:pt idx="13">
                  <c:v>Explanation provided</c:v>
                </c:pt>
                <c:pt idx="14">
                  <c:v>Apology provided</c:v>
                </c:pt>
              </c:strCache>
            </c:strRef>
          </c:cat>
          <c:val>
            <c:numRef>
              <c:f>Sheet1!$B$2:$B$16</c:f>
              <c:numCache>
                <c:formatCode>0</c:formatCode>
                <c:ptCount val="15"/>
                <c:pt idx="0">
                  <c:v>3.3396946564885495</c:v>
                </c:pt>
                <c:pt idx="1">
                  <c:v>0.5725190839694656</c:v>
                </c:pt>
                <c:pt idx="2">
                  <c:v>0</c:v>
                </c:pt>
                <c:pt idx="3">
                  <c:v>3.5305343511450387</c:v>
                </c:pt>
                <c:pt idx="4">
                  <c:v>9.5419847328244267E-2</c:v>
                </c:pt>
                <c:pt idx="5">
                  <c:v>0.85877862595419852</c:v>
                </c:pt>
                <c:pt idx="6">
                  <c:v>0.38167938931297707</c:v>
                </c:pt>
                <c:pt idx="7">
                  <c:v>1.1450381679389312</c:v>
                </c:pt>
                <c:pt idx="8">
                  <c:v>0</c:v>
                </c:pt>
                <c:pt idx="9">
                  <c:v>2.9580152671755724</c:v>
                </c:pt>
                <c:pt idx="10">
                  <c:v>1.8129770992366412</c:v>
                </c:pt>
                <c:pt idx="11">
                  <c:v>1.4312977099236641</c:v>
                </c:pt>
                <c:pt idx="12">
                  <c:v>14.694656488549619</c:v>
                </c:pt>
                <c:pt idx="13">
                  <c:v>41.31679389312977</c:v>
                </c:pt>
                <c:pt idx="14">
                  <c:v>27.862595419847331</c:v>
                </c:pt>
              </c:numCache>
            </c:numRef>
          </c:val>
        </c:ser>
        <c:ser>
          <c:idx val="1"/>
          <c:order val="1"/>
          <c:tx>
            <c:strRef>
              <c:f>Sheet1!$C$1</c:f>
              <c:strCache>
                <c:ptCount val="1"/>
                <c:pt idx="0">
                  <c:v>2016-17% (n=805)</c:v>
                </c:pt>
              </c:strCache>
            </c:strRef>
          </c:tx>
          <c:spPr>
            <a:solidFill>
              <a:srgbClr val="04425E"/>
            </a:solidFill>
            <a:ln>
              <a:solidFill>
                <a:srgbClr val="04425E"/>
              </a:solidFill>
            </a:ln>
          </c:spPr>
          <c:invertIfNegative val="0"/>
          <c:dLbls>
            <c:dLbl>
              <c:idx val="1"/>
              <c:layout/>
              <c:tx>
                <c:rich>
                  <a:bodyPr/>
                  <a:lstStyle/>
                  <a:p>
                    <a:r>
                      <a:rPr lang="en-US"/>
                      <a:t>&lt;1%</a:t>
                    </a:r>
                  </a:p>
                </c:rich>
              </c:tx>
              <c:dLblPos val="outEnd"/>
              <c:showLegendKey val="0"/>
              <c:showVal val="1"/>
              <c:showCatName val="0"/>
              <c:showSerName val="0"/>
              <c:showPercent val="0"/>
              <c:showBubbleSize val="0"/>
            </c:dLbl>
            <c:dLbl>
              <c:idx val="4"/>
              <c:layout/>
              <c:tx>
                <c:rich>
                  <a:bodyPr/>
                  <a:lstStyle/>
                  <a:p>
                    <a:r>
                      <a:rPr lang="en-US"/>
                      <a:t>&lt;1%</a:t>
                    </a:r>
                  </a:p>
                </c:rich>
              </c:tx>
              <c:dLblPos val="outEnd"/>
              <c:showLegendKey val="0"/>
              <c:showVal val="1"/>
              <c:showCatName val="0"/>
              <c:showSerName val="0"/>
              <c:showPercent val="0"/>
              <c:showBubbleSize val="0"/>
            </c:dLbl>
            <c:dLbl>
              <c:idx val="5"/>
              <c:layout/>
              <c:tx>
                <c:rich>
                  <a:bodyPr/>
                  <a:lstStyle/>
                  <a:p>
                    <a:r>
                      <a:rPr lang="en-US"/>
                      <a:t>&lt;1%</a:t>
                    </a:r>
                  </a:p>
                </c:rich>
              </c:tx>
              <c:dLblPos val="outEnd"/>
              <c:showLegendKey val="0"/>
              <c:showVal val="1"/>
              <c:showCatName val="0"/>
              <c:showSerName val="0"/>
              <c:showPercent val="0"/>
              <c:showBubbleSize val="0"/>
            </c:dLbl>
            <c:dLbl>
              <c:idx val="6"/>
              <c:layout/>
              <c:tx>
                <c:rich>
                  <a:bodyPr/>
                  <a:lstStyle/>
                  <a:p>
                    <a:r>
                      <a:rPr lang="en-US"/>
                      <a:t>1%</a:t>
                    </a:r>
                  </a:p>
                </c:rich>
              </c:tx>
              <c:dLblPos val="outEnd"/>
              <c:showLegendKey val="0"/>
              <c:showVal val="1"/>
              <c:showCatName val="0"/>
              <c:showSerName val="0"/>
              <c:showPercent val="0"/>
              <c:showBubbleSize val="0"/>
            </c:dLbl>
            <c:dLbl>
              <c:idx val="8"/>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Change in policy effected</c:v>
                </c:pt>
                <c:pt idx="5">
                  <c:v>Cost refunded/reduced</c:v>
                </c:pt>
                <c:pt idx="6">
                  <c:v>Agreement not reached</c:v>
                </c:pt>
                <c:pt idx="7">
                  <c:v>Service provided</c:v>
                </c:pt>
                <c:pt idx="8">
                  <c:v>Compensation paid</c:v>
                </c:pt>
                <c:pt idx="9">
                  <c:v>Change in practice/procedure effected</c:v>
                </c:pt>
                <c:pt idx="10">
                  <c:v>Complaint withdrawn by complainant</c:v>
                </c:pt>
                <c:pt idx="11">
                  <c:v>Counselling/performance support/development provided to staff member(s)/contractor(s)</c:v>
                </c:pt>
                <c:pt idx="12">
                  <c:v>Concern registered</c:v>
                </c:pt>
                <c:pt idx="13">
                  <c:v>Explanation provided</c:v>
                </c:pt>
                <c:pt idx="14">
                  <c:v>Apology provided</c:v>
                </c:pt>
              </c:strCache>
            </c:strRef>
          </c:cat>
          <c:val>
            <c:numRef>
              <c:f>Sheet1!$C$2:$C$16</c:f>
              <c:numCache>
                <c:formatCode>0</c:formatCode>
                <c:ptCount val="15"/>
                <c:pt idx="0">
                  <c:v>9.6894409937888195</c:v>
                </c:pt>
                <c:pt idx="1">
                  <c:v>0.2484472049689441</c:v>
                </c:pt>
                <c:pt idx="2">
                  <c:v>2.1118012422360248</c:v>
                </c:pt>
                <c:pt idx="3">
                  <c:v>3.1055900621118013</c:v>
                </c:pt>
                <c:pt idx="4">
                  <c:v>0.2484472049689441</c:v>
                </c:pt>
                <c:pt idx="5">
                  <c:v>0.12422360248447205</c:v>
                </c:pt>
                <c:pt idx="6">
                  <c:v>0.74534161490683226</c:v>
                </c:pt>
                <c:pt idx="7">
                  <c:v>1.3664596273291925</c:v>
                </c:pt>
                <c:pt idx="8">
                  <c:v>0.37267080745341613</c:v>
                </c:pt>
                <c:pt idx="9">
                  <c:v>2.4844720496894408</c:v>
                </c:pt>
                <c:pt idx="10">
                  <c:v>1.1180124223602486</c:v>
                </c:pt>
                <c:pt idx="11">
                  <c:v>3.4782608695652173</c:v>
                </c:pt>
                <c:pt idx="12">
                  <c:v>20</c:v>
                </c:pt>
                <c:pt idx="13">
                  <c:v>31.801242236024844</c:v>
                </c:pt>
                <c:pt idx="14">
                  <c:v>23.105590062111801</c:v>
                </c:pt>
              </c:numCache>
            </c:numRef>
          </c:val>
        </c:ser>
        <c:ser>
          <c:idx val="2"/>
          <c:order val="2"/>
          <c:tx>
            <c:strRef>
              <c:f>Sheet1!$D$1</c:f>
              <c:strCache>
                <c:ptCount val="1"/>
                <c:pt idx="0">
                  <c:v>2017-18 (n=585)</c:v>
                </c:pt>
              </c:strCache>
            </c:strRef>
          </c:tx>
          <c:spPr>
            <a:solidFill>
              <a:schemeClr val="bg1">
                <a:lumMod val="75000"/>
              </a:schemeClr>
            </a:solidFill>
            <a:ln>
              <a:solidFill>
                <a:schemeClr val="bg1">
                  <a:lumMod val="75000"/>
                </a:schemeClr>
              </a:solidFill>
            </a:ln>
          </c:spPr>
          <c:invertIfNegative val="0"/>
          <c:dLbls>
            <c:dLbl>
              <c:idx val="4"/>
              <c:layout/>
              <c:tx>
                <c:rich>
                  <a:bodyPr/>
                  <a:lstStyle/>
                  <a:p>
                    <a:r>
                      <a:rPr lang="en-US"/>
                      <a:t>&lt;1%</a:t>
                    </a:r>
                  </a:p>
                </c:rich>
              </c:tx>
              <c:dLblPos val="outEnd"/>
              <c:showLegendKey val="0"/>
              <c:showVal val="1"/>
              <c:showCatName val="0"/>
              <c:showSerName val="0"/>
              <c:showPercent val="0"/>
              <c:showBubbleSize val="0"/>
            </c:dLbl>
            <c:dLbl>
              <c:idx val="5"/>
              <c:layout/>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Sheet1!$A$2:$A$16</c:f>
              <c:strCache>
                <c:ptCount val="15"/>
                <c:pt idx="0">
                  <c:v>Not recorded</c:v>
                </c:pt>
                <c:pt idx="1">
                  <c:v>Unknown outcome</c:v>
                </c:pt>
                <c:pt idx="2">
                  <c:v>Complaint not yet resolved</c:v>
                </c:pt>
                <c:pt idx="3">
                  <c:v>Other*</c:v>
                </c:pt>
                <c:pt idx="4">
                  <c:v>Change in policy effected</c:v>
                </c:pt>
                <c:pt idx="5">
                  <c:v>Cost refunded/reduced</c:v>
                </c:pt>
                <c:pt idx="6">
                  <c:v>Agreement not reached</c:v>
                </c:pt>
                <c:pt idx="7">
                  <c:v>Service provided</c:v>
                </c:pt>
                <c:pt idx="8">
                  <c:v>Compensation paid</c:v>
                </c:pt>
                <c:pt idx="9">
                  <c:v>Change in practice/procedure effected</c:v>
                </c:pt>
                <c:pt idx="10">
                  <c:v>Complaint withdrawn by complainant</c:v>
                </c:pt>
                <c:pt idx="11">
                  <c:v>Counselling/performance support/development provided to staff member(s)/contractor(s)</c:v>
                </c:pt>
                <c:pt idx="12">
                  <c:v>Concern registered</c:v>
                </c:pt>
                <c:pt idx="13">
                  <c:v>Explanation provided</c:v>
                </c:pt>
                <c:pt idx="14">
                  <c:v>Apology provided</c:v>
                </c:pt>
              </c:strCache>
            </c:strRef>
          </c:cat>
          <c:val>
            <c:numRef>
              <c:f>Sheet1!$D$2:$D$16</c:f>
              <c:numCache>
                <c:formatCode>0.0</c:formatCode>
                <c:ptCount val="15"/>
                <c:pt idx="0">
                  <c:v>6.7</c:v>
                </c:pt>
                <c:pt idx="1">
                  <c:v>0.9</c:v>
                </c:pt>
                <c:pt idx="2">
                  <c:v>0</c:v>
                </c:pt>
                <c:pt idx="3">
                  <c:v>3.9</c:v>
                </c:pt>
                <c:pt idx="4">
                  <c:v>0.2</c:v>
                </c:pt>
                <c:pt idx="5">
                  <c:v>0.3</c:v>
                </c:pt>
                <c:pt idx="6">
                  <c:v>0.5</c:v>
                </c:pt>
                <c:pt idx="7">
                  <c:v>0.7</c:v>
                </c:pt>
                <c:pt idx="8">
                  <c:v>1</c:v>
                </c:pt>
                <c:pt idx="9">
                  <c:v>1.2</c:v>
                </c:pt>
                <c:pt idx="10">
                  <c:v>1.5</c:v>
                </c:pt>
                <c:pt idx="11">
                  <c:v>3.8</c:v>
                </c:pt>
                <c:pt idx="12">
                  <c:v>21.7</c:v>
                </c:pt>
                <c:pt idx="13">
                  <c:v>26.2</c:v>
                </c:pt>
                <c:pt idx="14">
                  <c:v>31.45</c:v>
                </c:pt>
              </c:numCache>
            </c:numRef>
          </c:val>
        </c:ser>
        <c:dLbls>
          <c:dLblPos val="outEnd"/>
          <c:showLegendKey val="0"/>
          <c:showVal val="1"/>
          <c:showCatName val="0"/>
          <c:showSerName val="0"/>
          <c:showPercent val="0"/>
          <c:showBubbleSize val="0"/>
        </c:dLbls>
        <c:gapWidth val="50"/>
        <c:overlap val="-18"/>
        <c:axId val="87823872"/>
        <c:axId val="87825408"/>
      </c:barChart>
      <c:catAx>
        <c:axId val="87823872"/>
        <c:scaling>
          <c:orientation val="minMax"/>
        </c:scaling>
        <c:delete val="0"/>
        <c:axPos val="l"/>
        <c:numFmt formatCode="General" sourceLinked="1"/>
        <c:majorTickMark val="out"/>
        <c:minorTickMark val="none"/>
        <c:tickLblPos val="nextTo"/>
        <c:crossAx val="87825408"/>
        <c:crosses val="autoZero"/>
        <c:auto val="1"/>
        <c:lblAlgn val="ctr"/>
        <c:lblOffset val="100"/>
        <c:noMultiLvlLbl val="0"/>
      </c:catAx>
      <c:valAx>
        <c:axId val="87825408"/>
        <c:scaling>
          <c:orientation val="minMax"/>
          <c:max val="45"/>
          <c:min val="0"/>
        </c:scaling>
        <c:delete val="1"/>
        <c:axPos val="b"/>
        <c:numFmt formatCode="0\%" sourceLinked="0"/>
        <c:majorTickMark val="out"/>
        <c:minorTickMark val="none"/>
        <c:tickLblPos val="nextTo"/>
        <c:crossAx val="87823872"/>
        <c:crosses val="autoZero"/>
        <c:crossBetween val="between"/>
        <c:majorUnit val="10"/>
        <c:minorUnit val="2"/>
      </c:valAx>
    </c:plotArea>
    <c:legend>
      <c:legendPos val="r"/>
      <c:layout>
        <c:manualLayout>
          <c:xMode val="edge"/>
          <c:yMode val="edge"/>
          <c:x val="0.71741697577059071"/>
          <c:y val="0.76601913184225723"/>
          <c:w val="0.22714734350757662"/>
          <c:h val="0.12546491431218157"/>
        </c:manualLayout>
      </c:layout>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567729016444795"/>
          <c:y val="4.626984560709714E-2"/>
          <c:w val="0.64866671494713779"/>
          <c:h val="0.90746030878580575"/>
        </c:manualLayout>
      </c:layout>
      <c:barChart>
        <c:barDir val="bar"/>
        <c:grouping val="clustered"/>
        <c:varyColors val="0"/>
        <c:ser>
          <c:idx val="0"/>
          <c:order val="0"/>
          <c:tx>
            <c:strRef>
              <c:f>Sheet1!$B$1</c:f>
              <c:strCache>
                <c:ptCount val="1"/>
                <c:pt idx="0">
                  <c:v>Series 1</c:v>
                </c:pt>
              </c:strCache>
            </c:strRef>
          </c:tx>
          <c:spPr>
            <a:solidFill>
              <a:schemeClr val="bg1">
                <a:lumMod val="75000"/>
              </a:schemeClr>
            </a:solidFill>
            <a:ln>
              <a:noFill/>
            </a:ln>
          </c:spPr>
          <c:invertIfNegative val="0"/>
          <c:cat>
            <c:strRef>
              <c:f>Sheet1!$A$2:$A$7</c:f>
              <c:strCache>
                <c:ptCount val="6"/>
                <c:pt idx="0">
                  <c:v>Compensation received</c:v>
                </c:pt>
                <c:pt idx="1">
                  <c:v>Goodwill payment given</c:v>
                </c:pt>
                <c:pt idx="2">
                  <c:v>Service obtained</c:v>
                </c:pt>
                <c:pt idx="3">
                  <c:v>Costs refunded/waived</c:v>
                </c:pt>
                <c:pt idx="4">
                  <c:v>Apology given</c:v>
                </c:pt>
                <c:pt idx="5">
                  <c:v>Explanation given</c:v>
                </c:pt>
              </c:strCache>
            </c:strRef>
          </c:cat>
          <c:val>
            <c:numRef>
              <c:f>Sheet1!$B$2:$B$7</c:f>
              <c:numCache>
                <c:formatCode>General</c:formatCode>
                <c:ptCount val="6"/>
                <c:pt idx="0">
                  <c:v>1</c:v>
                </c:pt>
                <c:pt idx="1">
                  <c:v>2</c:v>
                </c:pt>
                <c:pt idx="2">
                  <c:v>10</c:v>
                </c:pt>
                <c:pt idx="3">
                  <c:v>15</c:v>
                </c:pt>
                <c:pt idx="4">
                  <c:v>28</c:v>
                </c:pt>
                <c:pt idx="5">
                  <c:v>107</c:v>
                </c:pt>
              </c:numCache>
            </c:numRef>
          </c:val>
        </c:ser>
        <c:dLbls>
          <c:dLblPos val="outEnd"/>
          <c:showLegendKey val="0"/>
          <c:showVal val="1"/>
          <c:showCatName val="0"/>
          <c:showSerName val="0"/>
          <c:showPercent val="0"/>
          <c:showBubbleSize val="0"/>
        </c:dLbls>
        <c:gapWidth val="80"/>
        <c:axId val="162226944"/>
        <c:axId val="162228480"/>
      </c:barChart>
      <c:catAx>
        <c:axId val="162226944"/>
        <c:scaling>
          <c:orientation val="minMax"/>
        </c:scaling>
        <c:delete val="0"/>
        <c:axPos val="l"/>
        <c:majorTickMark val="out"/>
        <c:minorTickMark val="none"/>
        <c:tickLblPos val="nextTo"/>
        <c:crossAx val="162228480"/>
        <c:crosses val="autoZero"/>
        <c:auto val="1"/>
        <c:lblAlgn val="ctr"/>
        <c:lblOffset val="100"/>
        <c:noMultiLvlLbl val="0"/>
      </c:catAx>
      <c:valAx>
        <c:axId val="162228480"/>
        <c:scaling>
          <c:orientation val="minMax"/>
          <c:max val="110"/>
        </c:scaling>
        <c:delete val="1"/>
        <c:axPos val="b"/>
        <c:numFmt formatCode="General" sourceLinked="1"/>
        <c:majorTickMark val="out"/>
        <c:minorTickMark val="none"/>
        <c:tickLblPos val="nextTo"/>
        <c:crossAx val="162226944"/>
        <c:crosses val="autoZero"/>
        <c:crossBetween val="between"/>
        <c:majorUnit val="110"/>
        <c:minorUnit val="110"/>
      </c:valAx>
    </c:plotArea>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Complaints received</c:v>
                </c:pt>
              </c:strCache>
            </c:strRef>
          </c:tx>
          <c:spPr>
            <a:solidFill>
              <a:srgbClr val="04425E"/>
            </a:solidFill>
            <a:ln>
              <a:noFill/>
            </a:ln>
          </c:spPr>
          <c:invertIfNegative val="0"/>
          <c:dLbls>
            <c:numFmt formatCode="#,##0" sourceLinked="0"/>
            <c:txPr>
              <a:bodyPr/>
              <a:lstStyle/>
              <a:p>
                <a:pPr>
                  <a:defRPr b="1"/>
                </a:pPr>
                <a:endParaRPr lang="en-US"/>
              </a:p>
            </c:txPr>
            <c:showLegendKey val="0"/>
            <c:showVal val="1"/>
            <c:showCatName val="0"/>
            <c:showSerName val="0"/>
            <c:showPercent val="0"/>
            <c:showBubbleSize val="0"/>
            <c:showLeaderLines val="0"/>
          </c:dLbls>
          <c:cat>
            <c:strRef>
              <c:f>Sheet1!$A$2:$A$4</c:f>
              <c:strCache>
                <c:ptCount val="3"/>
                <c:pt idx="0">
                  <c:v>2015-16</c:v>
                </c:pt>
                <c:pt idx="1">
                  <c:v>2016-17</c:v>
                </c:pt>
                <c:pt idx="2">
                  <c:v>2017-18</c:v>
                </c:pt>
              </c:strCache>
            </c:strRef>
          </c:cat>
          <c:val>
            <c:numRef>
              <c:f>Sheet1!$B$2:$B$4</c:f>
              <c:numCache>
                <c:formatCode>General</c:formatCode>
                <c:ptCount val="3"/>
                <c:pt idx="0">
                  <c:v>1777</c:v>
                </c:pt>
                <c:pt idx="1">
                  <c:v>1836</c:v>
                </c:pt>
                <c:pt idx="2">
                  <c:v>1853</c:v>
                </c:pt>
              </c:numCache>
            </c:numRef>
          </c:val>
        </c:ser>
        <c:ser>
          <c:idx val="1"/>
          <c:order val="1"/>
          <c:tx>
            <c:strRef>
              <c:f>Sheet1!$C$1</c:f>
              <c:strCache>
                <c:ptCount val="1"/>
                <c:pt idx="0">
                  <c:v>Complaints closed</c:v>
                </c:pt>
              </c:strCache>
            </c:strRef>
          </c:tx>
          <c:spPr>
            <a:solidFill>
              <a:schemeClr val="bg1">
                <a:lumMod val="75000"/>
                <a:alpha val="75000"/>
              </a:schemeClr>
            </a:solidFill>
            <a:ln>
              <a:noFill/>
            </a:ln>
          </c:spPr>
          <c:invertIfNegative val="0"/>
          <c:dLbls>
            <c:numFmt formatCode="#,##0" sourceLinked="0"/>
            <c:txPr>
              <a:bodyPr/>
              <a:lstStyle/>
              <a:p>
                <a:pPr>
                  <a:defRPr b="1"/>
                </a:pPr>
                <a:endParaRPr lang="en-US"/>
              </a:p>
            </c:txPr>
            <c:showLegendKey val="0"/>
            <c:showVal val="1"/>
            <c:showCatName val="0"/>
            <c:showSerName val="0"/>
            <c:showPercent val="0"/>
            <c:showBubbleSize val="0"/>
            <c:showLeaderLines val="0"/>
          </c:dLbls>
          <c:cat>
            <c:strRef>
              <c:f>Sheet1!$A$2:$A$4</c:f>
              <c:strCache>
                <c:ptCount val="3"/>
                <c:pt idx="0">
                  <c:v>2015-16</c:v>
                </c:pt>
                <c:pt idx="1">
                  <c:v>2016-17</c:v>
                </c:pt>
                <c:pt idx="2">
                  <c:v>2017-18</c:v>
                </c:pt>
              </c:strCache>
            </c:strRef>
          </c:cat>
          <c:val>
            <c:numRef>
              <c:f>Sheet1!$C$2:$C$4</c:f>
              <c:numCache>
                <c:formatCode>General</c:formatCode>
                <c:ptCount val="3"/>
                <c:pt idx="0">
                  <c:v>1769</c:v>
                </c:pt>
                <c:pt idx="1">
                  <c:v>1929</c:v>
                </c:pt>
                <c:pt idx="2">
                  <c:v>1894</c:v>
                </c:pt>
              </c:numCache>
            </c:numRef>
          </c:val>
        </c:ser>
        <c:dLbls>
          <c:showLegendKey val="0"/>
          <c:showVal val="1"/>
          <c:showCatName val="0"/>
          <c:showSerName val="0"/>
          <c:showPercent val="0"/>
          <c:showBubbleSize val="0"/>
        </c:dLbls>
        <c:gapWidth val="150"/>
        <c:overlap val="-15"/>
        <c:axId val="162765440"/>
        <c:axId val="162943360"/>
      </c:barChart>
      <c:catAx>
        <c:axId val="162765440"/>
        <c:scaling>
          <c:orientation val="minMax"/>
        </c:scaling>
        <c:delete val="0"/>
        <c:axPos val="b"/>
        <c:title>
          <c:tx>
            <c:rich>
              <a:bodyPr/>
              <a:lstStyle/>
              <a:p>
                <a:pPr>
                  <a:defRPr/>
                </a:pPr>
                <a:r>
                  <a:rPr lang="en-AU"/>
                  <a:t>Financial year</a:t>
                </a:r>
              </a:p>
            </c:rich>
          </c:tx>
          <c:overlay val="0"/>
        </c:title>
        <c:majorTickMark val="out"/>
        <c:minorTickMark val="none"/>
        <c:tickLblPos val="nextTo"/>
        <c:crossAx val="162943360"/>
        <c:crosses val="autoZero"/>
        <c:auto val="1"/>
        <c:lblAlgn val="ctr"/>
        <c:lblOffset val="100"/>
        <c:noMultiLvlLbl val="0"/>
      </c:catAx>
      <c:valAx>
        <c:axId val="162943360"/>
        <c:scaling>
          <c:orientation val="minMax"/>
          <c:max val="2500"/>
          <c:min val="0"/>
        </c:scaling>
        <c:delete val="1"/>
        <c:axPos val="l"/>
        <c:numFmt formatCode="#,##0" sourceLinked="0"/>
        <c:majorTickMark val="out"/>
        <c:minorTickMark val="none"/>
        <c:tickLblPos val="nextTo"/>
        <c:crossAx val="162765440"/>
        <c:crosses val="autoZero"/>
        <c:crossBetween val="between"/>
        <c:majorUnit val="2500"/>
        <c:minorUnit val="2500"/>
      </c:valAx>
    </c:plotArea>
    <c:legend>
      <c:legendPos val="b"/>
      <c:overlay val="0"/>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965141612200435E-2"/>
          <c:y val="8.9553805774278211E-2"/>
          <c:w val="0.95206971677559915"/>
          <c:h val="0.78421755337454857"/>
        </c:manualLayout>
      </c:layout>
      <c:barChart>
        <c:barDir val="col"/>
        <c:grouping val="clustered"/>
        <c:varyColors val="0"/>
        <c:ser>
          <c:idx val="0"/>
          <c:order val="0"/>
          <c:tx>
            <c:strRef>
              <c:f>Sheet1!$B$1</c:f>
              <c:strCache>
                <c:ptCount val="1"/>
                <c:pt idx="0">
                  <c:v>2015-16 (n=1,769)</c:v>
                </c:pt>
              </c:strCache>
            </c:strRef>
          </c:tx>
          <c:spPr>
            <a:solidFill>
              <a:srgbClr val="2487C4"/>
            </a:solidFill>
            <a:ln>
              <a:solidFill>
                <a:srgbClr val="2487C4"/>
              </a:solidFill>
            </a:ln>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Sheet1!$B$2:$B$6</c:f>
              <c:numCache>
                <c:formatCode>General</c:formatCode>
                <c:ptCount val="5"/>
                <c:pt idx="0">
                  <c:v>70</c:v>
                </c:pt>
                <c:pt idx="1">
                  <c:v>16</c:v>
                </c:pt>
                <c:pt idx="2">
                  <c:v>8</c:v>
                </c:pt>
                <c:pt idx="3">
                  <c:v>3</c:v>
                </c:pt>
                <c:pt idx="4">
                  <c:v>3</c:v>
                </c:pt>
              </c:numCache>
            </c:numRef>
          </c:val>
        </c:ser>
        <c:ser>
          <c:idx val="1"/>
          <c:order val="1"/>
          <c:tx>
            <c:strRef>
              <c:f>Sheet1!$C$1</c:f>
              <c:strCache>
                <c:ptCount val="1"/>
                <c:pt idx="0">
                  <c:v>2016-17 (n=1,929)</c:v>
                </c:pt>
              </c:strCache>
            </c:strRef>
          </c:tx>
          <c:spPr>
            <a:solidFill>
              <a:srgbClr val="04425E"/>
            </a:solidFill>
            <a:ln>
              <a:solidFill>
                <a:srgbClr val="04425E"/>
              </a:solidFill>
            </a:ln>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Sheet1!$C$2:$C$6</c:f>
              <c:numCache>
                <c:formatCode>General</c:formatCode>
                <c:ptCount val="5"/>
                <c:pt idx="0">
                  <c:v>73</c:v>
                </c:pt>
                <c:pt idx="1">
                  <c:v>14</c:v>
                </c:pt>
                <c:pt idx="2">
                  <c:v>8</c:v>
                </c:pt>
                <c:pt idx="3">
                  <c:v>3</c:v>
                </c:pt>
                <c:pt idx="4">
                  <c:v>2</c:v>
                </c:pt>
              </c:numCache>
            </c:numRef>
          </c:val>
        </c:ser>
        <c:ser>
          <c:idx val="2"/>
          <c:order val="2"/>
          <c:tx>
            <c:strRef>
              <c:f>Sheet1!$D$1</c:f>
              <c:strCache>
                <c:ptCount val="1"/>
                <c:pt idx="0">
                  <c:v>2017-18 (n=1,894)</c:v>
                </c:pt>
              </c:strCache>
            </c:strRef>
          </c:tx>
          <c:spPr>
            <a:solidFill>
              <a:schemeClr val="bg1">
                <a:lumMod val="75000"/>
              </a:schemeClr>
            </a:solidFill>
          </c:spPr>
          <c:invertIfNegative val="0"/>
          <c:dLbls>
            <c:numFmt formatCode="0\%" sourceLinked="0"/>
            <c:dLblPos val="outEnd"/>
            <c:showLegendKey val="0"/>
            <c:showVal val="1"/>
            <c:showCatName val="0"/>
            <c:showSerName val="0"/>
            <c:showPercent val="0"/>
            <c:showBubbleSize val="0"/>
            <c:showLeaderLines val="0"/>
          </c:dLbls>
          <c:cat>
            <c:strRef>
              <c:f>Sheet1!$A$2:$A$6</c:f>
              <c:strCache>
                <c:ptCount val="5"/>
                <c:pt idx="0">
                  <c:v>Self</c:v>
                </c:pt>
                <c:pt idx="1">
                  <c:v>Child/parent</c:v>
                </c:pt>
                <c:pt idx="2">
                  <c:v>Partner/spouse</c:v>
                </c:pt>
                <c:pt idx="3">
                  <c:v>Other relative</c:v>
                </c:pt>
                <c:pt idx="4">
                  <c:v>Other</c:v>
                </c:pt>
              </c:strCache>
            </c:strRef>
          </c:cat>
          <c:val>
            <c:numRef>
              <c:f>Sheet1!$D$2:$D$6</c:f>
              <c:numCache>
                <c:formatCode>0</c:formatCode>
                <c:ptCount val="5"/>
                <c:pt idx="0">
                  <c:v>73.8</c:v>
                </c:pt>
                <c:pt idx="1">
                  <c:v>14.8</c:v>
                </c:pt>
                <c:pt idx="2">
                  <c:v>7</c:v>
                </c:pt>
                <c:pt idx="3">
                  <c:v>1.8</c:v>
                </c:pt>
                <c:pt idx="4">
                  <c:v>2.6</c:v>
                </c:pt>
              </c:numCache>
            </c:numRef>
          </c:val>
        </c:ser>
        <c:dLbls>
          <c:dLblPos val="outEnd"/>
          <c:showLegendKey val="0"/>
          <c:showVal val="1"/>
          <c:showCatName val="0"/>
          <c:showSerName val="0"/>
          <c:showPercent val="0"/>
          <c:showBubbleSize val="0"/>
        </c:dLbls>
        <c:gapWidth val="75"/>
        <c:overlap val="-10"/>
        <c:axId val="164300672"/>
        <c:axId val="164461952"/>
      </c:barChart>
      <c:catAx>
        <c:axId val="164300672"/>
        <c:scaling>
          <c:orientation val="minMax"/>
        </c:scaling>
        <c:delete val="0"/>
        <c:axPos val="b"/>
        <c:majorTickMark val="out"/>
        <c:minorTickMark val="none"/>
        <c:tickLblPos val="nextTo"/>
        <c:crossAx val="164461952"/>
        <c:crosses val="autoZero"/>
        <c:auto val="1"/>
        <c:lblAlgn val="ctr"/>
        <c:lblOffset val="100"/>
        <c:noMultiLvlLbl val="0"/>
      </c:catAx>
      <c:valAx>
        <c:axId val="164461952"/>
        <c:scaling>
          <c:orientation val="minMax"/>
          <c:max val="80"/>
        </c:scaling>
        <c:delete val="1"/>
        <c:axPos val="l"/>
        <c:numFmt formatCode="0\%" sourceLinked="0"/>
        <c:majorTickMark val="out"/>
        <c:minorTickMark val="none"/>
        <c:tickLblPos val="nextTo"/>
        <c:crossAx val="164300672"/>
        <c:crosses val="autoZero"/>
        <c:crossBetween val="between"/>
        <c:majorUnit val="80"/>
        <c:minorUnit val="80"/>
      </c:valAx>
    </c:plotArea>
    <c:legend>
      <c:legendPos val="r"/>
      <c:layout>
        <c:manualLayout>
          <c:xMode val="edge"/>
          <c:yMode val="edge"/>
          <c:x val="0.7021623522549878"/>
          <c:y val="5.1131949415413963E-2"/>
          <c:w val="0.21483111179729986"/>
          <c:h val="0.26977436120880149"/>
        </c:manualLayout>
      </c:layout>
      <c:overlay val="1"/>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302983971663739E-2"/>
          <c:y val="6.7859346082665015E-2"/>
          <c:w val="0.9804255536019163"/>
          <c:h val="0.7268828841328755"/>
        </c:manualLayout>
      </c:layout>
      <c:barChart>
        <c:barDir val="col"/>
        <c:grouping val="clustered"/>
        <c:varyColors val="0"/>
        <c:ser>
          <c:idx val="0"/>
          <c:order val="0"/>
          <c:tx>
            <c:strRef>
              <c:f>Sheet1!$B$1</c:f>
              <c:strCache>
                <c:ptCount val="1"/>
                <c:pt idx="0">
                  <c:v>2016-17</c:v>
                </c:pt>
              </c:strCache>
            </c:strRef>
          </c:tx>
          <c:spPr>
            <a:solidFill>
              <a:schemeClr val="bg1">
                <a:lumMod val="75000"/>
              </a:schemeClr>
            </a:solidFill>
            <a:ln>
              <a:noFill/>
            </a:ln>
          </c:spPr>
          <c:invertIfNegative val="0"/>
          <c:dLbls>
            <c:numFmt formatCode="0\%" sourceLinked="0"/>
            <c:dLblPos val="outEnd"/>
            <c:showLegendKey val="0"/>
            <c:showVal val="1"/>
            <c:showCatName val="0"/>
            <c:showSerName val="0"/>
            <c:showPercent val="0"/>
            <c:showBubbleSize val="0"/>
            <c:showLeaderLines val="0"/>
          </c:dLbls>
          <c:cat>
            <c:strRef>
              <c:f>Sheet1!$A$2:$A$13</c:f>
              <c:strCache>
                <c:ptCount val="12"/>
                <c:pt idx="0">
                  <c:v>0 to 14</c:v>
                </c:pt>
                <c:pt idx="1">
                  <c:v>15 to 24</c:v>
                </c:pt>
                <c:pt idx="2">
                  <c:v>25 to 34</c:v>
                </c:pt>
                <c:pt idx="3">
                  <c:v>35 to 44</c:v>
                </c:pt>
                <c:pt idx="4">
                  <c:v>45 to 54</c:v>
                </c:pt>
                <c:pt idx="5">
                  <c:v>55 to 64</c:v>
                </c:pt>
                <c:pt idx="6">
                  <c:v>65 to 74</c:v>
                </c:pt>
                <c:pt idx="7">
                  <c:v>75 +</c:v>
                </c:pt>
                <c:pt idx="9">
                  <c:v>Male</c:v>
                </c:pt>
                <c:pt idx="10">
                  <c:v>Female</c:v>
                </c:pt>
                <c:pt idx="11">
                  <c:v>Unknown</c:v>
                </c:pt>
              </c:strCache>
            </c:strRef>
          </c:cat>
          <c:val>
            <c:numRef>
              <c:f>Sheet1!$B$2:$B$13</c:f>
              <c:numCache>
                <c:formatCode>###0.0</c:formatCode>
                <c:ptCount val="12"/>
                <c:pt idx="0" formatCode="General">
                  <c:v>4.7</c:v>
                </c:pt>
                <c:pt idx="1">
                  <c:v>4.4000000000000004</c:v>
                </c:pt>
                <c:pt idx="2">
                  <c:v>19.399999999999999</c:v>
                </c:pt>
                <c:pt idx="3">
                  <c:v>22.48</c:v>
                </c:pt>
                <c:pt idx="4">
                  <c:v>16.45</c:v>
                </c:pt>
                <c:pt idx="5">
                  <c:v>13.52</c:v>
                </c:pt>
                <c:pt idx="6">
                  <c:v>10.199999999999999</c:v>
                </c:pt>
                <c:pt idx="7">
                  <c:v>8.9</c:v>
                </c:pt>
                <c:pt idx="9" formatCode="General">
                  <c:v>49.1</c:v>
                </c:pt>
                <c:pt idx="10" formatCode="General">
                  <c:v>49.2</c:v>
                </c:pt>
                <c:pt idx="11" formatCode="General">
                  <c:v>1.7</c:v>
                </c:pt>
              </c:numCache>
            </c:numRef>
          </c:val>
        </c:ser>
        <c:dLbls>
          <c:dLblPos val="outEnd"/>
          <c:showLegendKey val="0"/>
          <c:showVal val="1"/>
          <c:showCatName val="0"/>
          <c:showSerName val="0"/>
          <c:showPercent val="0"/>
          <c:showBubbleSize val="0"/>
        </c:dLbls>
        <c:gapWidth val="60"/>
        <c:overlap val="-25"/>
        <c:axId val="166976128"/>
        <c:axId val="168178816"/>
      </c:barChart>
      <c:catAx>
        <c:axId val="166976128"/>
        <c:scaling>
          <c:orientation val="minMax"/>
        </c:scaling>
        <c:delete val="0"/>
        <c:axPos val="b"/>
        <c:majorTickMark val="out"/>
        <c:minorTickMark val="none"/>
        <c:tickLblPos val="nextTo"/>
        <c:crossAx val="168178816"/>
        <c:crosses val="autoZero"/>
        <c:auto val="1"/>
        <c:lblAlgn val="ctr"/>
        <c:lblOffset val="100"/>
        <c:noMultiLvlLbl val="0"/>
      </c:catAx>
      <c:valAx>
        <c:axId val="168178816"/>
        <c:scaling>
          <c:orientation val="minMax"/>
          <c:max val="80"/>
        </c:scaling>
        <c:delete val="1"/>
        <c:axPos val="l"/>
        <c:numFmt formatCode="0\%" sourceLinked="0"/>
        <c:majorTickMark val="out"/>
        <c:minorTickMark val="none"/>
        <c:tickLblPos val="nextTo"/>
        <c:crossAx val="166976128"/>
        <c:crosses val="autoZero"/>
        <c:crossBetween val="between"/>
        <c:majorUnit val="20"/>
        <c:minorUnit val="20"/>
      </c:valAx>
    </c:plotArea>
    <c:plotVisOnly val="1"/>
    <c:dispBlanksAs val="gap"/>
    <c:showDLblsOverMax val="0"/>
  </c:chart>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574532384783013E-2"/>
          <c:y val="6.7997374565762783E-2"/>
          <c:w val="0.95648844227250296"/>
          <c:h val="0.77974628171478566"/>
        </c:manualLayout>
      </c:layout>
      <c:barChart>
        <c:barDir val="col"/>
        <c:grouping val="clustered"/>
        <c:varyColors val="0"/>
        <c:ser>
          <c:idx val="0"/>
          <c:order val="0"/>
          <c:tx>
            <c:strRef>
              <c:f>Sheet1!$B$1</c:f>
              <c:strCache>
                <c:ptCount val="1"/>
                <c:pt idx="0">
                  <c:v>2015-16 (n=1,766)</c:v>
                </c:pt>
              </c:strCache>
            </c:strRef>
          </c:tx>
          <c:spPr>
            <a:solidFill>
              <a:srgbClr val="2487C4"/>
            </a:solidFill>
            <a:ln>
              <a:solidFill>
                <a:srgbClr val="2487C4"/>
              </a:solidFill>
            </a:ln>
          </c:spPr>
          <c:invertIfNegative val="0"/>
          <c:dLbls>
            <c:dLbl>
              <c:idx val="4"/>
              <c:tx>
                <c:rich>
                  <a:bodyPr/>
                  <a:lstStyle/>
                  <a:p>
                    <a:r>
                      <a:rPr lang="en-US"/>
                      <a:t>&lt;1%</a:t>
                    </a:r>
                  </a:p>
                </c:rich>
              </c:tx>
              <c:dLblPos val="outEnd"/>
              <c:showLegendKey val="0"/>
              <c:showVal val="1"/>
              <c:showCatName val="0"/>
              <c:showSerName val="0"/>
              <c:showPercent val="0"/>
              <c:showBubbleSize val="0"/>
            </c:dLbl>
            <c:dLbl>
              <c:idx val="5"/>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Sheet1!$B$2:$B$7</c:f>
              <c:numCache>
                <c:formatCode>###0.0</c:formatCode>
                <c:ptCount val="6"/>
                <c:pt idx="0">
                  <c:v>60.8</c:v>
                </c:pt>
                <c:pt idx="1">
                  <c:v>27</c:v>
                </c:pt>
                <c:pt idx="2">
                  <c:v>8.8000000000000007</c:v>
                </c:pt>
                <c:pt idx="3">
                  <c:v>2.6</c:v>
                </c:pt>
                <c:pt idx="4" formatCode="####.0">
                  <c:v>0.6</c:v>
                </c:pt>
                <c:pt idx="5" formatCode="####.0">
                  <c:v>0.2</c:v>
                </c:pt>
              </c:numCache>
            </c:numRef>
          </c:val>
        </c:ser>
        <c:ser>
          <c:idx val="1"/>
          <c:order val="1"/>
          <c:tx>
            <c:strRef>
              <c:f>Sheet1!$C$1</c:f>
              <c:strCache>
                <c:ptCount val="1"/>
                <c:pt idx="0">
                  <c:v>2016-17 (n=1,929)</c:v>
                </c:pt>
              </c:strCache>
            </c:strRef>
          </c:tx>
          <c:spPr>
            <a:solidFill>
              <a:srgbClr val="04425E"/>
            </a:solidFill>
            <a:ln>
              <a:solidFill>
                <a:srgbClr val="04425E"/>
              </a:solidFill>
            </a:ln>
          </c:spPr>
          <c:invertIfNegative val="0"/>
          <c:dLbls>
            <c:dLbl>
              <c:idx val="4"/>
              <c:tx>
                <c:rich>
                  <a:bodyPr/>
                  <a:lstStyle/>
                  <a:p>
                    <a:r>
                      <a:rPr lang="en-US"/>
                      <a:t>&lt;1%</a:t>
                    </a:r>
                  </a:p>
                </c:rich>
              </c:tx>
              <c:dLblPos val="outEnd"/>
              <c:showLegendKey val="0"/>
              <c:showVal val="1"/>
              <c:showCatName val="0"/>
              <c:showSerName val="0"/>
              <c:showPercent val="0"/>
              <c:showBubbleSize val="0"/>
            </c:dLbl>
            <c:dLbl>
              <c:idx val="5"/>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Sheet1!$C$2:$C$7</c:f>
              <c:numCache>
                <c:formatCode>###0.0</c:formatCode>
                <c:ptCount val="6"/>
                <c:pt idx="0">
                  <c:v>61.534473820632449</c:v>
                </c:pt>
                <c:pt idx="1">
                  <c:v>27.423535510627268</c:v>
                </c:pt>
                <c:pt idx="2">
                  <c:v>8.9683773976153436</c:v>
                </c:pt>
                <c:pt idx="3">
                  <c:v>1.5552099533437014</c:v>
                </c:pt>
                <c:pt idx="4" formatCode="####.0">
                  <c:v>0.31104199066874028</c:v>
                </c:pt>
                <c:pt idx="5" formatCode="####.0">
                  <c:v>0.20736132711249353</c:v>
                </c:pt>
              </c:numCache>
            </c:numRef>
          </c:val>
        </c:ser>
        <c:ser>
          <c:idx val="2"/>
          <c:order val="2"/>
          <c:tx>
            <c:strRef>
              <c:f>Sheet1!$D$1</c:f>
              <c:strCache>
                <c:ptCount val="1"/>
                <c:pt idx="0">
                  <c:v>2017-18 (n=1,894)</c:v>
                </c:pt>
              </c:strCache>
            </c:strRef>
          </c:tx>
          <c:spPr>
            <a:solidFill>
              <a:schemeClr val="bg1">
                <a:lumMod val="75000"/>
              </a:schemeClr>
            </a:solidFill>
            <a:ln>
              <a:noFill/>
            </a:ln>
          </c:spPr>
          <c:invertIfNegative val="0"/>
          <c:dLbls>
            <c:dLbl>
              <c:idx val="4"/>
              <c:tx>
                <c:rich>
                  <a:bodyPr/>
                  <a:lstStyle/>
                  <a:p>
                    <a:r>
                      <a:rPr lang="en-US"/>
                      <a:t>&lt;1%</a:t>
                    </a:r>
                  </a:p>
                </c:rich>
              </c:tx>
              <c:dLblPos val="outEnd"/>
              <c:showLegendKey val="0"/>
              <c:showVal val="1"/>
              <c:showCatName val="0"/>
              <c:showSerName val="0"/>
              <c:showPercent val="0"/>
              <c:showBubbleSize val="0"/>
            </c:dLbl>
            <c:dLbl>
              <c:idx val="5"/>
              <c:tx>
                <c:rich>
                  <a:bodyPr/>
                  <a:lstStyle/>
                  <a:p>
                    <a:r>
                      <a:rPr lang="en-US"/>
                      <a:t>&lt;1%</a:t>
                    </a:r>
                  </a:p>
                </c:rich>
              </c:tx>
              <c:dLblPos val="outEnd"/>
              <c:showLegendKey val="0"/>
              <c:showVal val="1"/>
              <c:showCatName val="0"/>
              <c:showSerName val="0"/>
              <c:showPercent val="0"/>
              <c:showBubbleSize val="0"/>
            </c:dLbl>
            <c:numFmt formatCode="0\%" sourceLinked="0"/>
            <c:dLblPos val="outEnd"/>
            <c:showLegendKey val="0"/>
            <c:showVal val="1"/>
            <c:showCatName val="0"/>
            <c:showSerName val="0"/>
            <c:showPercent val="0"/>
            <c:showBubbleSize val="0"/>
            <c:showLeaderLines val="0"/>
          </c:dLbls>
          <c:cat>
            <c:strRef>
              <c:f>Sheet1!$A$2:$A$7</c:f>
              <c:strCache>
                <c:ptCount val="6"/>
                <c:pt idx="0">
                  <c:v>One issue</c:v>
                </c:pt>
                <c:pt idx="1">
                  <c:v>Two issues</c:v>
                </c:pt>
                <c:pt idx="2">
                  <c:v>Three issues</c:v>
                </c:pt>
                <c:pt idx="3">
                  <c:v>Four issues</c:v>
                </c:pt>
                <c:pt idx="4">
                  <c:v>Five issues</c:v>
                </c:pt>
                <c:pt idx="5">
                  <c:v>Six issues</c:v>
                </c:pt>
              </c:strCache>
            </c:strRef>
          </c:cat>
          <c:val>
            <c:numRef>
              <c:f>Sheet1!$D$2:$D$7</c:f>
              <c:numCache>
                <c:formatCode>General</c:formatCode>
                <c:ptCount val="6"/>
                <c:pt idx="0">
                  <c:v>55.6</c:v>
                </c:pt>
                <c:pt idx="1">
                  <c:v>31.2</c:v>
                </c:pt>
                <c:pt idx="2">
                  <c:v>10.9</c:v>
                </c:pt>
                <c:pt idx="3">
                  <c:v>2.2000000000000002</c:v>
                </c:pt>
                <c:pt idx="4">
                  <c:v>0.3</c:v>
                </c:pt>
                <c:pt idx="5">
                  <c:v>0.2</c:v>
                </c:pt>
              </c:numCache>
            </c:numRef>
          </c:val>
        </c:ser>
        <c:dLbls>
          <c:dLblPos val="outEnd"/>
          <c:showLegendKey val="0"/>
          <c:showVal val="1"/>
          <c:showCatName val="0"/>
          <c:showSerName val="0"/>
          <c:showPercent val="0"/>
          <c:showBubbleSize val="0"/>
        </c:dLbls>
        <c:gapWidth val="65"/>
        <c:overlap val="-15"/>
        <c:axId val="180514176"/>
        <c:axId val="180537216"/>
      </c:barChart>
      <c:catAx>
        <c:axId val="180514176"/>
        <c:scaling>
          <c:orientation val="minMax"/>
        </c:scaling>
        <c:delete val="0"/>
        <c:axPos val="b"/>
        <c:majorTickMark val="out"/>
        <c:minorTickMark val="none"/>
        <c:tickLblPos val="nextTo"/>
        <c:crossAx val="180537216"/>
        <c:crosses val="autoZero"/>
        <c:auto val="1"/>
        <c:lblAlgn val="ctr"/>
        <c:lblOffset val="100"/>
        <c:noMultiLvlLbl val="0"/>
      </c:catAx>
      <c:valAx>
        <c:axId val="180537216"/>
        <c:scaling>
          <c:orientation val="minMax"/>
          <c:max val="70"/>
        </c:scaling>
        <c:delete val="1"/>
        <c:axPos val="l"/>
        <c:numFmt formatCode="0\%" sourceLinked="0"/>
        <c:majorTickMark val="out"/>
        <c:minorTickMark val="none"/>
        <c:tickLblPos val="nextTo"/>
        <c:crossAx val="180514176"/>
        <c:crosses val="autoZero"/>
        <c:crossBetween val="between"/>
        <c:majorUnit val="70"/>
        <c:minorUnit val="70"/>
      </c:valAx>
    </c:plotArea>
    <c:legend>
      <c:legendPos val="l"/>
      <c:layout>
        <c:manualLayout>
          <c:xMode val="edge"/>
          <c:yMode val="edge"/>
          <c:x val="0.74464461529858139"/>
          <c:y val="8.1684907508570964E-2"/>
          <c:w val="0.21069974426273638"/>
          <c:h val="0.2967517973296816"/>
        </c:manualLayout>
      </c:layout>
      <c:overlay val="1"/>
    </c:legend>
    <c:plotVisOnly val="1"/>
    <c:dispBlanksAs val="gap"/>
    <c:showDLblsOverMax val="0"/>
  </c:chart>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0.70266</cdr:x>
      <cdr:y>0.0878</cdr:y>
    </cdr:from>
    <cdr:to>
      <cdr:x>0.70266</cdr:x>
      <cdr:y>0.95359</cdr:y>
    </cdr:to>
    <cdr:cxnSp macro="">
      <cdr:nvCxnSpPr>
        <cdr:cNvPr id="3" name="Straight Connector 2"/>
        <cdr:cNvCxnSpPr/>
      </cdr:nvCxnSpPr>
      <cdr:spPr>
        <a:xfrm xmlns:a="http://schemas.openxmlformats.org/drawingml/2006/main" flipV="1">
          <a:off x="4136196" y="189840"/>
          <a:ext cx="0" cy="1871990"/>
        </a:xfrm>
        <a:prstGeom xmlns:a="http://schemas.openxmlformats.org/drawingml/2006/main" prst="line">
          <a:avLst/>
        </a:prstGeom>
        <a:ln xmlns:a="http://schemas.openxmlformats.org/drawingml/2006/main">
          <a:solidFill>
            <a:srgbClr val="04425E"/>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0.70266</cdr:x>
      <cdr:y>0.0878</cdr:y>
    </cdr:from>
    <cdr:to>
      <cdr:x>0.70266</cdr:x>
      <cdr:y>0.95359</cdr:y>
    </cdr:to>
    <cdr:cxnSp macro="">
      <cdr:nvCxnSpPr>
        <cdr:cNvPr id="3" name="Straight Connector 2"/>
        <cdr:cNvCxnSpPr/>
      </cdr:nvCxnSpPr>
      <cdr:spPr>
        <a:xfrm xmlns:a="http://schemas.openxmlformats.org/drawingml/2006/main" flipV="1">
          <a:off x="4136196" y="189840"/>
          <a:ext cx="0" cy="1871990"/>
        </a:xfrm>
        <a:prstGeom xmlns:a="http://schemas.openxmlformats.org/drawingml/2006/main" prst="line">
          <a:avLst/>
        </a:prstGeom>
        <a:ln xmlns:a="http://schemas.openxmlformats.org/drawingml/2006/main">
          <a:solidFill>
            <a:srgbClr val="04425E"/>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0.5</cdr:x>
      <cdr:y>0.08833</cdr:y>
    </cdr:from>
    <cdr:to>
      <cdr:x>0.5</cdr:x>
      <cdr:y>0.93485</cdr:y>
    </cdr:to>
    <cdr:cxnSp macro="">
      <cdr:nvCxnSpPr>
        <cdr:cNvPr id="2" name="Straight Connector 1"/>
        <cdr:cNvCxnSpPr/>
      </cdr:nvCxnSpPr>
      <cdr:spPr>
        <a:xfrm xmlns:a="http://schemas.openxmlformats.org/drawingml/2006/main" flipH="1" flipV="1">
          <a:off x="2971779" y="266707"/>
          <a:ext cx="0" cy="2556004"/>
        </a:xfrm>
        <a:prstGeom xmlns:a="http://schemas.openxmlformats.org/drawingml/2006/main" prst="line">
          <a:avLst/>
        </a:prstGeom>
        <a:ln xmlns:a="http://schemas.openxmlformats.org/drawingml/2006/main">
          <a:solidFill>
            <a:srgbClr val="04425E"/>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0.22436</cdr:x>
      <cdr:y>0.09464</cdr:y>
    </cdr:from>
    <cdr:to>
      <cdr:x>0.22436</cdr:x>
      <cdr:y>0.94116</cdr:y>
    </cdr:to>
    <cdr:cxnSp macro="">
      <cdr:nvCxnSpPr>
        <cdr:cNvPr id="3" name="Straight Connector 2"/>
        <cdr:cNvCxnSpPr/>
      </cdr:nvCxnSpPr>
      <cdr:spPr>
        <a:xfrm xmlns:a="http://schemas.openxmlformats.org/drawingml/2006/main" flipV="1">
          <a:off x="1333524" y="285757"/>
          <a:ext cx="0" cy="2556004"/>
        </a:xfrm>
        <a:prstGeom xmlns:a="http://schemas.openxmlformats.org/drawingml/2006/main" prst="line">
          <a:avLst/>
        </a:prstGeom>
        <a:ln xmlns:a="http://schemas.openxmlformats.org/drawingml/2006/main">
          <a:solidFill>
            <a:srgbClr val="04425E"/>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0.70266</cdr:x>
      <cdr:y>0.0878</cdr:y>
    </cdr:from>
    <cdr:to>
      <cdr:x>0.70266</cdr:x>
      <cdr:y>0.95359</cdr:y>
    </cdr:to>
    <cdr:cxnSp macro="">
      <cdr:nvCxnSpPr>
        <cdr:cNvPr id="3" name="Straight Connector 2"/>
        <cdr:cNvCxnSpPr/>
      </cdr:nvCxnSpPr>
      <cdr:spPr>
        <a:xfrm xmlns:a="http://schemas.openxmlformats.org/drawingml/2006/main" flipV="1">
          <a:off x="4136196" y="189840"/>
          <a:ext cx="0" cy="1871990"/>
        </a:xfrm>
        <a:prstGeom xmlns:a="http://schemas.openxmlformats.org/drawingml/2006/main" prst="line">
          <a:avLst/>
        </a:prstGeom>
        <a:ln xmlns:a="http://schemas.openxmlformats.org/drawingml/2006/main">
          <a:solidFill>
            <a:srgbClr val="04425E"/>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364934-8C66-44B1-ABD2-D239527FD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68</Pages>
  <Words>14170</Words>
  <Characters>80773</Characters>
  <Application>Microsoft Office Word</Application>
  <DocSecurity>0</DocSecurity>
  <Lines>673</Lines>
  <Paragraphs>189</Paragraphs>
  <ScaleCrop>false</ScaleCrop>
  <HeadingPairs>
    <vt:vector size="2" baseType="variant">
      <vt:variant>
        <vt:lpstr>Title</vt:lpstr>
      </vt:variant>
      <vt:variant>
        <vt:i4>1</vt:i4>
      </vt:variant>
    </vt:vector>
  </HeadingPairs>
  <TitlesOfParts>
    <vt:vector size="1" baseType="lpstr">
      <vt:lpstr/>
    </vt:vector>
  </TitlesOfParts>
  <Company>WA Health</Company>
  <LinksUpToDate>false</LinksUpToDate>
  <CharactersWithSpaces>94754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Lawton, Katy</dc:creator>
  <cp:lastModifiedBy>Lisa Webb</cp:lastModifiedBy>
  <cp:revision>3</cp:revision>
  <cp:lastPrinted>2018-09-11T01:33:00Z</cp:lastPrinted>
  <dcterms:created xsi:type="dcterms:W3CDTF">2018-10-11T06:57:00Z</dcterms:created>
  <dcterms:modified xsi:type="dcterms:W3CDTF">2018-10-11T07:00:00Z</dcterms:modified>
</cp:coreProperties>
</file>